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F78F" w14:textId="77777777" w:rsidR="00EF5EC3" w:rsidRPr="006370FB" w:rsidRDefault="00EF5EC3" w:rsidP="00493AAA">
      <w:pPr>
        <w:pStyle w:val="Titre1"/>
        <w:ind w:right="-776"/>
        <w:jc w:val="center"/>
        <w:rPr>
          <w:rFonts w:cs="Times New Roman"/>
          <w:caps/>
          <w:spacing w:val="20"/>
          <w:sz w:val="36"/>
          <w:szCs w:val="36"/>
          <w:lang w:val="fr-BE"/>
        </w:rPr>
      </w:pPr>
      <w:r w:rsidRPr="006370FB">
        <w:rPr>
          <w:rFonts w:cs="Times New Roman"/>
          <w:caps/>
          <w:noProof/>
          <w:sz w:val="36"/>
          <w:szCs w:val="36"/>
          <w:lang w:eastAsia="en-GB"/>
        </w:rPr>
        <w:drawing>
          <wp:anchor distT="0" distB="0" distL="114300" distR="114300" simplePos="0" relativeHeight="251659264" behindDoc="0" locked="1" layoutInCell="1" allowOverlap="1" wp14:anchorId="4A10067D" wp14:editId="63D5D3A8">
            <wp:simplePos x="0" y="0"/>
            <wp:positionH relativeFrom="column">
              <wp:posOffset>-774065</wp:posOffset>
            </wp:positionH>
            <wp:positionV relativeFrom="page">
              <wp:posOffset>794385</wp:posOffset>
            </wp:positionV>
            <wp:extent cx="948055" cy="1096645"/>
            <wp:effectExtent l="0" t="0" r="444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0FB">
        <w:rPr>
          <w:rFonts w:cs="Times New Roman"/>
          <w:caps/>
          <w:spacing w:val="20"/>
          <w:sz w:val="36"/>
          <w:szCs w:val="36"/>
          <w:lang w:val="fr-BE"/>
        </w:rPr>
        <w:t xml:space="preserve">Le Tribunal du Travail de Liège </w:t>
      </w:r>
    </w:p>
    <w:p w14:paraId="109AD8D5" w14:textId="77777777" w:rsidR="00EF5EC3" w:rsidRPr="006370FB" w:rsidRDefault="00EF5EC3" w:rsidP="00493AAA">
      <w:pPr>
        <w:pStyle w:val="Titre1"/>
        <w:ind w:right="-776"/>
        <w:jc w:val="center"/>
        <w:rPr>
          <w:rFonts w:cs="Times New Roman"/>
          <w:caps/>
          <w:spacing w:val="20"/>
          <w:sz w:val="36"/>
          <w:szCs w:val="36"/>
          <w:lang w:val="fr-BE"/>
        </w:rPr>
      </w:pPr>
      <w:r w:rsidRPr="006370FB">
        <w:rPr>
          <w:rFonts w:cs="Times New Roman"/>
          <w:caps/>
          <w:spacing w:val="20"/>
          <w:sz w:val="36"/>
          <w:szCs w:val="36"/>
          <w:lang w:val="fr-BE"/>
        </w:rPr>
        <w:t>Division de VERVIERS</w:t>
      </w:r>
    </w:p>
    <w:p w14:paraId="1F7D197B" w14:textId="77777777" w:rsidR="00EF5EC3" w:rsidRPr="006370FB" w:rsidRDefault="00EF5EC3" w:rsidP="00493AAA">
      <w:pPr>
        <w:pStyle w:val="Textbody"/>
        <w:rPr>
          <w:rFonts w:cs="Times New Roman"/>
          <w:lang w:val="fr-BE"/>
        </w:rPr>
      </w:pPr>
    </w:p>
    <w:p w14:paraId="1D474835" w14:textId="77777777" w:rsidR="00756EBB" w:rsidRPr="00EF5EC3" w:rsidRDefault="00EF5EC3" w:rsidP="00EF5EC3">
      <w:pPr>
        <w:pStyle w:val="Standard"/>
        <w:jc w:val="center"/>
        <w:rPr>
          <w:rFonts w:eastAsiaTheme="majorEastAsia" w:cs="Times New Roman"/>
          <w:b/>
          <w:bCs/>
          <w:sz w:val="28"/>
          <w:szCs w:val="28"/>
          <w:lang w:val="fr-BE"/>
        </w:rPr>
      </w:pPr>
      <w:r w:rsidRPr="006F6C05">
        <w:rPr>
          <w:rFonts w:eastAsiaTheme="majorEastAsia" w:cs="Times New Roman"/>
          <w:b/>
          <w:bCs/>
          <w:sz w:val="28"/>
          <w:szCs w:val="28"/>
          <w:lang w:val="fr-BE"/>
        </w:rPr>
        <w:t xml:space="preserve">Vidant son délibéré, le Tribunal </w:t>
      </w:r>
      <w:r>
        <w:rPr>
          <w:rFonts w:eastAsiaTheme="majorEastAsia" w:cs="Times New Roman"/>
          <w:b/>
          <w:bCs/>
          <w:sz w:val="28"/>
          <w:szCs w:val="28"/>
          <w:lang w:val="fr-BE"/>
        </w:rPr>
        <w:t>a prononcé le jugement suivant à l’audience publique du</w:t>
      </w:r>
      <w:r w:rsidRPr="006F6C05">
        <w:rPr>
          <w:rFonts w:eastAsiaTheme="majorEastAsia" w:cs="Times New Roman"/>
          <w:b/>
          <w:bCs/>
          <w:sz w:val="28"/>
          <w:szCs w:val="28"/>
          <w:lang w:val="fr-BE"/>
        </w:rPr>
        <w:t xml:space="preserve"> </w:t>
      </w:r>
      <w:r w:rsidR="001212F1">
        <w:rPr>
          <w:rFonts w:eastAsiaTheme="majorEastAsia" w:cs="Times New Roman"/>
          <w:b/>
          <w:bCs/>
          <w:sz w:val="28"/>
          <w:szCs w:val="28"/>
          <w:lang w:val="fr-BE"/>
        </w:rPr>
        <w:t xml:space="preserve"> </w:t>
      </w:r>
      <w:r w:rsidR="002F31EE">
        <w:rPr>
          <w:rFonts w:eastAsiaTheme="majorEastAsia" w:cs="Times New Roman"/>
          <w:b/>
          <w:bCs/>
          <w:sz w:val="28"/>
          <w:szCs w:val="28"/>
          <w:lang w:val="fr-BE"/>
        </w:rPr>
        <w:t>1</w:t>
      </w:r>
      <w:r w:rsidR="002F31EE">
        <w:rPr>
          <w:rFonts w:eastAsiaTheme="majorEastAsia" w:cs="Times New Roman"/>
          <w:b/>
          <w:bCs/>
          <w:sz w:val="28"/>
          <w:szCs w:val="28"/>
          <w:vertAlign w:val="superscript"/>
          <w:lang w:val="fr-BE"/>
        </w:rPr>
        <w:t xml:space="preserve">er </w:t>
      </w:r>
      <w:r w:rsidR="002F31EE">
        <w:rPr>
          <w:rFonts w:eastAsiaTheme="majorEastAsia" w:cs="Times New Roman"/>
          <w:b/>
          <w:bCs/>
          <w:sz w:val="28"/>
          <w:szCs w:val="28"/>
          <w:lang w:val="fr-BE"/>
        </w:rPr>
        <w:t xml:space="preserve">septembre </w:t>
      </w:r>
      <w:r w:rsidR="00BF08E5">
        <w:rPr>
          <w:rFonts w:eastAsiaTheme="majorEastAsia" w:cs="Times New Roman"/>
          <w:b/>
          <w:bCs/>
          <w:sz w:val="28"/>
          <w:szCs w:val="28"/>
          <w:lang w:val="fr-BE"/>
        </w:rPr>
        <w:t>2</w:t>
      </w:r>
      <w:r w:rsidR="001212F1">
        <w:rPr>
          <w:rFonts w:eastAsiaTheme="majorEastAsia" w:cs="Times New Roman"/>
          <w:b/>
          <w:bCs/>
          <w:sz w:val="28"/>
          <w:szCs w:val="28"/>
          <w:lang w:val="fr-BE"/>
        </w:rPr>
        <w:t>02</w:t>
      </w:r>
      <w:r w:rsidR="00C859BE">
        <w:rPr>
          <w:rFonts w:eastAsiaTheme="majorEastAsia" w:cs="Times New Roman"/>
          <w:b/>
          <w:bCs/>
          <w:sz w:val="28"/>
          <w:szCs w:val="28"/>
          <w:lang w:val="fr-BE"/>
        </w:rPr>
        <w:t>2</w:t>
      </w:r>
      <w:r w:rsidRPr="006F6C05">
        <w:rPr>
          <w:rFonts w:eastAsiaTheme="majorEastAsia" w:cs="Times New Roman"/>
          <w:b/>
          <w:bCs/>
          <w:sz w:val="28"/>
          <w:szCs w:val="28"/>
          <w:lang w:val="fr-BE"/>
        </w:rPr>
        <w:t xml:space="preserve"> – 2ème Chambre</w:t>
      </w:r>
    </w:p>
    <w:p w14:paraId="52A9E425" w14:textId="77777777" w:rsidR="00F621E2" w:rsidRPr="0000027B" w:rsidRDefault="00F621E2" w:rsidP="00F621E2">
      <w:pPr>
        <w:rPr>
          <w:rFonts w:cs="Times New Roman"/>
        </w:rPr>
      </w:pPr>
    </w:p>
    <w:p w14:paraId="5AA23B31" w14:textId="77777777" w:rsidR="00F621E2" w:rsidRPr="0000027B" w:rsidRDefault="00F621E2" w:rsidP="00F621E2">
      <w:pPr>
        <w:pStyle w:val="Textebrut"/>
        <w:rPr>
          <w:rFonts w:ascii="Times New Roman" w:hAnsi="Times New Roman" w:cs="Times New Roman"/>
          <w:b/>
          <w:sz w:val="24"/>
          <w:szCs w:val="24"/>
          <w:lang w:val="fr-BE"/>
        </w:rPr>
      </w:pPr>
    </w:p>
    <w:p w14:paraId="1CC59D92" w14:textId="77777777" w:rsidR="00F621E2" w:rsidRPr="00C0726B" w:rsidRDefault="00F621E2" w:rsidP="004108D4">
      <w:pPr>
        <w:pStyle w:val="Textebrut"/>
        <w:jc w:val="both"/>
        <w:rPr>
          <w:rFonts w:ascii="Times New Roman" w:hAnsi="Times New Roman" w:cs="Times New Roman"/>
          <w:b/>
          <w:sz w:val="24"/>
          <w:szCs w:val="24"/>
          <w:lang w:val="fr-BE"/>
        </w:rPr>
      </w:pPr>
      <w:r w:rsidRPr="00C0726B">
        <w:rPr>
          <w:rFonts w:ascii="Times New Roman" w:hAnsi="Times New Roman" w:cs="Times New Roman"/>
          <w:b/>
          <w:sz w:val="24"/>
          <w:szCs w:val="24"/>
          <w:lang w:val="fr-BE"/>
        </w:rPr>
        <w:t xml:space="preserve">R.G. : </w:t>
      </w:r>
      <w:r w:rsidR="00D836CE">
        <w:rPr>
          <w:rFonts w:ascii="Times New Roman" w:hAnsi="Times New Roman" w:cs="Times New Roman"/>
          <w:b/>
          <w:sz w:val="24"/>
          <w:szCs w:val="24"/>
          <w:lang w:val="fr-BE"/>
        </w:rPr>
        <w:t>2</w:t>
      </w:r>
      <w:r w:rsidR="0095021C">
        <w:rPr>
          <w:rFonts w:ascii="Times New Roman" w:hAnsi="Times New Roman" w:cs="Times New Roman"/>
          <w:b/>
          <w:sz w:val="24"/>
          <w:szCs w:val="24"/>
          <w:lang w:val="fr-BE"/>
        </w:rPr>
        <w:t>1</w:t>
      </w:r>
      <w:r w:rsidRPr="00C0726B">
        <w:rPr>
          <w:rFonts w:ascii="Times New Roman" w:hAnsi="Times New Roman" w:cs="Times New Roman"/>
          <w:b/>
          <w:sz w:val="24"/>
          <w:szCs w:val="24"/>
          <w:lang w:val="fr-BE"/>
        </w:rPr>
        <w:t>/</w:t>
      </w:r>
      <w:r w:rsidR="0095021C">
        <w:rPr>
          <w:rFonts w:ascii="Times New Roman" w:hAnsi="Times New Roman" w:cs="Times New Roman"/>
          <w:b/>
          <w:sz w:val="24"/>
          <w:szCs w:val="24"/>
          <w:lang w:val="fr-BE"/>
        </w:rPr>
        <w:t>339</w:t>
      </w:r>
      <w:r w:rsidRPr="00C0726B">
        <w:rPr>
          <w:rFonts w:ascii="Times New Roman" w:hAnsi="Times New Roman" w:cs="Times New Roman"/>
          <w:b/>
          <w:sz w:val="24"/>
          <w:szCs w:val="24"/>
          <w:lang w:val="fr-BE"/>
        </w:rPr>
        <w:t>/A</w:t>
      </w:r>
      <w:r w:rsidR="00C859BE">
        <w:rPr>
          <w:rFonts w:ascii="Times New Roman" w:hAnsi="Times New Roman" w:cs="Times New Roman"/>
          <w:b/>
          <w:sz w:val="24"/>
          <w:szCs w:val="24"/>
          <w:lang w:val="fr-BE"/>
        </w:rPr>
        <w:t xml:space="preserve"> et RG 21/340/A</w:t>
      </w:r>
      <w:r w:rsidR="00E12213" w:rsidRPr="00C0726B">
        <w:rPr>
          <w:rFonts w:ascii="Times New Roman" w:hAnsi="Times New Roman" w:cs="Times New Roman"/>
          <w:b/>
          <w:sz w:val="24"/>
          <w:szCs w:val="24"/>
          <w:lang w:val="fr-BE"/>
        </w:rPr>
        <w:tab/>
      </w:r>
      <w:r w:rsidR="00E12213" w:rsidRPr="00C0726B">
        <w:rPr>
          <w:rFonts w:ascii="Times New Roman" w:hAnsi="Times New Roman" w:cs="Times New Roman"/>
          <w:b/>
          <w:sz w:val="24"/>
          <w:szCs w:val="24"/>
          <w:lang w:val="fr-BE"/>
        </w:rPr>
        <w:tab/>
      </w:r>
      <w:r w:rsidR="00E12213" w:rsidRPr="00C0726B">
        <w:rPr>
          <w:rFonts w:ascii="Times New Roman" w:hAnsi="Times New Roman" w:cs="Times New Roman"/>
          <w:b/>
          <w:sz w:val="24"/>
          <w:szCs w:val="24"/>
          <w:lang w:val="fr-BE"/>
        </w:rPr>
        <w:tab/>
      </w:r>
      <w:r w:rsidR="00837E56" w:rsidRPr="00C0726B">
        <w:rPr>
          <w:rFonts w:ascii="Times New Roman" w:hAnsi="Times New Roman" w:cs="Times New Roman"/>
          <w:b/>
          <w:sz w:val="24"/>
          <w:szCs w:val="24"/>
          <w:lang w:val="fr-BE"/>
        </w:rPr>
        <w:tab/>
      </w:r>
      <w:r w:rsidR="00837E56" w:rsidRPr="00C0726B">
        <w:rPr>
          <w:rFonts w:ascii="Times New Roman" w:hAnsi="Times New Roman" w:cs="Times New Roman"/>
          <w:b/>
          <w:sz w:val="24"/>
          <w:szCs w:val="24"/>
          <w:lang w:val="fr-BE"/>
        </w:rPr>
        <w:tab/>
      </w:r>
      <w:proofErr w:type="spellStart"/>
      <w:r w:rsidR="004108D4" w:rsidRPr="00C0726B">
        <w:rPr>
          <w:rFonts w:ascii="Times New Roman" w:hAnsi="Times New Roman" w:cs="Times New Roman"/>
          <w:b/>
          <w:color w:val="FF0000"/>
          <w:sz w:val="24"/>
          <w:szCs w:val="24"/>
          <w:lang w:val="fr-BE"/>
        </w:rPr>
        <w:t>Ré</w:t>
      </w:r>
      <w:r w:rsidR="00891769" w:rsidRPr="00C0726B">
        <w:rPr>
          <w:rFonts w:ascii="Times New Roman" w:hAnsi="Times New Roman" w:cs="Times New Roman"/>
          <w:b/>
          <w:color w:val="FF0000"/>
          <w:sz w:val="24"/>
          <w:szCs w:val="24"/>
          <w:lang w:val="fr-BE"/>
        </w:rPr>
        <w:t>p</w:t>
      </w:r>
      <w:proofErr w:type="spellEnd"/>
      <w:r w:rsidR="00891769" w:rsidRPr="00C0726B">
        <w:rPr>
          <w:rFonts w:ascii="Times New Roman" w:hAnsi="Times New Roman" w:cs="Times New Roman"/>
          <w:b/>
          <w:color w:val="FF0000"/>
          <w:sz w:val="24"/>
          <w:szCs w:val="24"/>
          <w:lang w:val="fr-BE"/>
        </w:rPr>
        <w:t xml:space="preserve">: </w:t>
      </w:r>
      <w:r w:rsidR="001212F1">
        <w:rPr>
          <w:rFonts w:ascii="Times New Roman" w:hAnsi="Times New Roman" w:cs="Times New Roman"/>
          <w:b/>
          <w:color w:val="FF0000"/>
          <w:sz w:val="24"/>
          <w:szCs w:val="24"/>
          <w:lang w:val="fr-BE"/>
        </w:rPr>
        <w:t>2</w:t>
      </w:r>
      <w:r w:rsidR="00C859BE">
        <w:rPr>
          <w:rFonts w:ascii="Times New Roman" w:hAnsi="Times New Roman" w:cs="Times New Roman"/>
          <w:b/>
          <w:color w:val="FF0000"/>
          <w:sz w:val="24"/>
          <w:szCs w:val="24"/>
          <w:lang w:val="fr-BE"/>
        </w:rPr>
        <w:t>2</w:t>
      </w:r>
      <w:r w:rsidR="00E12213" w:rsidRPr="00C0726B">
        <w:rPr>
          <w:rFonts w:ascii="Times New Roman" w:hAnsi="Times New Roman" w:cs="Times New Roman"/>
          <w:b/>
          <w:color w:val="FF0000"/>
          <w:sz w:val="24"/>
          <w:szCs w:val="24"/>
          <w:lang w:val="fr-BE"/>
        </w:rPr>
        <w:t>/</w:t>
      </w:r>
    </w:p>
    <w:p w14:paraId="643AAA8D" w14:textId="77777777" w:rsidR="00F621E2" w:rsidRPr="00C0726B" w:rsidRDefault="00F621E2">
      <w:pPr>
        <w:pStyle w:val="Textebrut"/>
        <w:rPr>
          <w:rFonts w:ascii="Times New Roman" w:hAnsi="Times New Roman" w:cs="Times New Roman"/>
          <w:sz w:val="24"/>
          <w:szCs w:val="24"/>
          <w:u w:val="single"/>
          <w:lang w:val="fr-BE"/>
        </w:rPr>
      </w:pPr>
    </w:p>
    <w:p w14:paraId="39ADCC1F" w14:textId="77777777" w:rsidR="00844366" w:rsidRDefault="00844366" w:rsidP="00C45CCF">
      <w:pPr>
        <w:pStyle w:val="Textebrut"/>
        <w:rPr>
          <w:rFonts w:ascii="Times New Roman" w:hAnsi="Times New Roman" w:cs="Times New Roman"/>
          <w:caps/>
          <w:sz w:val="24"/>
          <w:szCs w:val="24"/>
          <w:lang w:val="fr-BE"/>
        </w:rPr>
      </w:pPr>
      <w:bookmarkStart w:id="0" w:name="niveau"/>
    </w:p>
    <w:p w14:paraId="5B7CA67D" w14:textId="77777777" w:rsidR="00C45CCF" w:rsidRPr="0000027B" w:rsidRDefault="00C45CCF" w:rsidP="00C45CCF">
      <w:pPr>
        <w:pStyle w:val="Textebrut"/>
        <w:rPr>
          <w:rFonts w:ascii="Times New Roman" w:hAnsi="Times New Roman" w:cs="Times New Roman"/>
          <w:caps/>
          <w:sz w:val="24"/>
          <w:szCs w:val="24"/>
          <w:lang w:val="fr-BE"/>
        </w:rPr>
      </w:pPr>
      <w:r w:rsidRPr="0000027B">
        <w:rPr>
          <w:rFonts w:ascii="Times New Roman" w:hAnsi="Times New Roman" w:cs="Times New Roman"/>
          <w:caps/>
          <w:sz w:val="24"/>
          <w:szCs w:val="24"/>
          <w:lang w:val="fr-BE"/>
        </w:rPr>
        <w:t xml:space="preserve">En cause de : </w:t>
      </w:r>
    </w:p>
    <w:p w14:paraId="580BF275" w14:textId="77777777" w:rsidR="00C45CCF" w:rsidRPr="0000027B" w:rsidRDefault="00C45CCF" w:rsidP="00C45CCF">
      <w:pPr>
        <w:pStyle w:val="Textebrut"/>
        <w:rPr>
          <w:rFonts w:ascii="Times New Roman" w:eastAsia="Courier" w:hAnsi="Times New Roman" w:cs="Times New Roman"/>
          <w:color w:val="17365D" w:themeColor="text2" w:themeShade="BF"/>
          <w:sz w:val="24"/>
          <w:szCs w:val="24"/>
          <w:lang w:val="fr-BE"/>
        </w:rPr>
      </w:pPr>
    </w:p>
    <w:p w14:paraId="5D6165AB" w14:textId="77777777" w:rsidR="00FE52EF" w:rsidRPr="000D38FD" w:rsidRDefault="00EF729F" w:rsidP="00802C77">
      <w:pPr>
        <w:pStyle w:val="Standard"/>
        <w:ind w:left="1395"/>
        <w:rPr>
          <w:rFonts w:cs="Times New Roman"/>
          <w:b/>
          <w:lang w:val="fr-BE"/>
        </w:rPr>
      </w:pPr>
      <w:r>
        <w:rPr>
          <w:rFonts w:cs="Times New Roman"/>
          <w:b/>
          <w:lang w:val="fr-BE"/>
        </w:rPr>
        <w:t>R. V. M.</w:t>
      </w:r>
      <w:r w:rsidR="002556E6">
        <w:rPr>
          <w:rFonts w:cs="Times New Roman"/>
          <w:b/>
          <w:lang w:val="fr-BE"/>
        </w:rPr>
        <w:t>,</w:t>
      </w:r>
    </w:p>
    <w:p w14:paraId="7C8631ED" w14:textId="77777777" w:rsidR="007D3CEF" w:rsidRPr="006D3A2B" w:rsidRDefault="007D3CEF" w:rsidP="006D3A2B">
      <w:pPr>
        <w:pStyle w:val="Standard"/>
        <w:jc w:val="both"/>
        <w:rPr>
          <w:rFonts w:eastAsia="Arial" w:cs="Times New Roman"/>
          <w:bCs/>
          <w:lang w:val="fr-BE"/>
        </w:rPr>
      </w:pPr>
      <w:bookmarkStart w:id="1" w:name="demandeur"/>
      <w:r>
        <w:rPr>
          <w:rFonts w:eastAsia="Arial" w:cs="Times New Roman"/>
          <w:bCs/>
          <w:lang w:val="fr-BE"/>
        </w:rPr>
        <w:tab/>
      </w:r>
      <w:r>
        <w:rPr>
          <w:rFonts w:eastAsia="Arial" w:cs="Times New Roman"/>
          <w:bCs/>
          <w:lang w:val="fr-BE"/>
        </w:rPr>
        <w:tab/>
      </w:r>
      <w:r w:rsidRPr="006D3A2B">
        <w:rPr>
          <w:rFonts w:eastAsia="Arial" w:cs="Times New Roman"/>
          <w:bCs/>
          <w:lang w:val="fr-BE"/>
        </w:rPr>
        <w:t>Inscrit</w:t>
      </w:r>
      <w:r w:rsidR="000972DF">
        <w:rPr>
          <w:rFonts w:eastAsia="Arial" w:cs="Times New Roman"/>
          <w:bCs/>
          <w:lang w:val="fr-BE"/>
        </w:rPr>
        <w:t>e</w:t>
      </w:r>
      <w:r w:rsidRPr="006D3A2B">
        <w:rPr>
          <w:rFonts w:eastAsia="Arial" w:cs="Times New Roman"/>
          <w:bCs/>
          <w:lang w:val="fr-BE"/>
        </w:rPr>
        <w:t xml:space="preserve"> au Registre National sous le numéro</w:t>
      </w:r>
      <w:r>
        <w:rPr>
          <w:rFonts w:eastAsia="Arial" w:cs="Times New Roman"/>
          <w:bCs/>
          <w:lang w:val="fr-BE"/>
        </w:rPr>
        <w:t xml:space="preserve"> </w:t>
      </w:r>
      <w:r w:rsidRPr="006D3A2B">
        <w:rPr>
          <w:rFonts w:eastAsia="Arial" w:cs="Times New Roman"/>
          <w:bCs/>
          <w:lang w:val="fr-BE"/>
        </w:rPr>
        <w:t>,</w:t>
      </w:r>
    </w:p>
    <w:p w14:paraId="43364503" w14:textId="77777777" w:rsidR="007D3CEF" w:rsidRPr="006D3A2B" w:rsidRDefault="007D3CEF" w:rsidP="006D3A2B">
      <w:pPr>
        <w:pStyle w:val="Standard"/>
        <w:jc w:val="both"/>
        <w:rPr>
          <w:rFonts w:eastAsia="Arial" w:cs="Times New Roman"/>
          <w:bCs/>
          <w:lang w:val="fr-FR"/>
        </w:rPr>
      </w:pPr>
      <w:r>
        <w:rPr>
          <w:rFonts w:eastAsia="Arial" w:cs="Times New Roman"/>
          <w:bCs/>
          <w:lang w:val="fr-BE"/>
        </w:rPr>
        <w:tab/>
      </w:r>
      <w:r>
        <w:rPr>
          <w:rFonts w:eastAsia="Arial" w:cs="Times New Roman"/>
          <w:bCs/>
          <w:lang w:val="fr-BE"/>
        </w:rPr>
        <w:tab/>
      </w:r>
      <w:r w:rsidRPr="006D3A2B">
        <w:rPr>
          <w:rFonts w:eastAsia="Arial" w:cs="Times New Roman"/>
          <w:bCs/>
          <w:lang w:val="fr-BE"/>
        </w:rPr>
        <w:t>Domicilié</w:t>
      </w:r>
      <w:r w:rsidR="000972DF">
        <w:rPr>
          <w:rFonts w:eastAsia="Arial" w:cs="Times New Roman"/>
          <w:bCs/>
          <w:lang w:val="fr-BE"/>
        </w:rPr>
        <w:t>e</w:t>
      </w:r>
      <w:r w:rsidRPr="006D3A2B">
        <w:rPr>
          <w:rFonts w:eastAsia="Arial" w:cs="Times New Roman"/>
          <w:bCs/>
          <w:lang w:val="fr-BE"/>
        </w:rPr>
        <w:t xml:space="preserve"> à</w:t>
      </w:r>
      <w:r>
        <w:rPr>
          <w:rFonts w:eastAsia="Arial" w:cs="Times New Roman"/>
          <w:bCs/>
          <w:lang w:val="fr-BE"/>
        </w:rPr>
        <w:t xml:space="preserve"> </w:t>
      </w:r>
      <w:r w:rsidR="00996322">
        <w:rPr>
          <w:rFonts w:eastAsia="Arial" w:cs="Times New Roman"/>
          <w:bCs/>
          <w:lang w:val="fr-BE"/>
        </w:rPr>
        <w:t>4</w:t>
      </w:r>
      <w:r w:rsidRPr="006D3A2B">
        <w:rPr>
          <w:rFonts w:eastAsia="Arial" w:cs="Times New Roman"/>
          <w:bCs/>
          <w:lang w:val="fr-BE"/>
        </w:rPr>
        <w:t>.</w:t>
      </w:r>
    </w:p>
    <w:p w14:paraId="14025DEF" w14:textId="77777777" w:rsidR="002556E6" w:rsidRPr="000E5564" w:rsidRDefault="007D3CEF" w:rsidP="006D3A2B">
      <w:pPr>
        <w:pStyle w:val="Standard"/>
        <w:jc w:val="both"/>
        <w:rPr>
          <w:rFonts w:eastAsia="Arial" w:cs="Times New Roman"/>
          <w:bCs/>
          <w:lang w:val="fr-BE"/>
        </w:rPr>
      </w:pPr>
      <w:bookmarkStart w:id="2" w:name="demavoc"/>
      <w:r>
        <w:rPr>
          <w:rFonts w:eastAsia="Arial" w:cs="Times New Roman"/>
          <w:bCs/>
          <w:lang w:val="fr-FR"/>
        </w:rPr>
        <w:tab/>
      </w:r>
      <w:r>
        <w:rPr>
          <w:rFonts w:eastAsia="Arial" w:cs="Times New Roman"/>
          <w:bCs/>
          <w:lang w:val="fr-FR"/>
        </w:rPr>
        <w:tab/>
      </w:r>
      <w:r w:rsidR="002556E6" w:rsidRPr="000E5564">
        <w:rPr>
          <w:rFonts w:eastAsia="Courier" w:cs="Times New Roman"/>
          <w:bCs/>
          <w:color w:val="010101"/>
          <w:lang w:val="fr-BE"/>
        </w:rPr>
        <w:t xml:space="preserve">Partie demanderesse représentée par Madame FEGATILLI Romina, </w:t>
      </w:r>
      <w:r w:rsidR="002556E6">
        <w:rPr>
          <w:rFonts w:eastAsia="Courier" w:cs="Times New Roman"/>
          <w:bCs/>
          <w:color w:val="010101"/>
          <w:lang w:val="fr-BE"/>
        </w:rPr>
        <w:tab/>
      </w:r>
      <w:r w:rsidR="002556E6">
        <w:rPr>
          <w:rFonts w:eastAsia="Courier" w:cs="Times New Roman"/>
          <w:bCs/>
          <w:color w:val="010101"/>
          <w:lang w:val="fr-BE"/>
        </w:rPr>
        <w:tab/>
      </w:r>
      <w:r w:rsidR="002556E6">
        <w:rPr>
          <w:rFonts w:eastAsia="Courier" w:cs="Times New Roman"/>
          <w:bCs/>
          <w:color w:val="010101"/>
          <w:lang w:val="fr-BE"/>
        </w:rPr>
        <w:tab/>
        <w:t xml:space="preserve">déléguée </w:t>
      </w:r>
      <w:r w:rsidR="002556E6" w:rsidRPr="000E5564">
        <w:rPr>
          <w:rFonts w:eastAsia="Courier" w:cs="Times New Roman"/>
          <w:bCs/>
          <w:color w:val="010101"/>
          <w:lang w:val="fr-BE"/>
        </w:rPr>
        <w:t>syndicale FGTB, porteuse d’une procuration écrite.</w:t>
      </w:r>
    </w:p>
    <w:p w14:paraId="39DA4522" w14:textId="77777777" w:rsidR="007D3CEF" w:rsidRPr="006D3A2B" w:rsidRDefault="007D3CEF" w:rsidP="006D3A2B">
      <w:pPr>
        <w:pStyle w:val="Standard"/>
        <w:jc w:val="both"/>
        <w:rPr>
          <w:rFonts w:eastAsia="Arial" w:cs="Times New Roman"/>
          <w:bCs/>
          <w:lang w:val="fr-BE"/>
        </w:rPr>
      </w:pPr>
    </w:p>
    <w:bookmarkEnd w:id="1"/>
    <w:bookmarkEnd w:id="2"/>
    <w:p w14:paraId="059B02BF" w14:textId="77777777" w:rsidR="00844366" w:rsidRDefault="00844366" w:rsidP="00C45CCF">
      <w:pPr>
        <w:pStyle w:val="Standard"/>
        <w:rPr>
          <w:rFonts w:cs="Times New Roman"/>
          <w:lang w:val="fr-BE"/>
        </w:rPr>
      </w:pPr>
    </w:p>
    <w:p w14:paraId="26C50140" w14:textId="77777777" w:rsidR="00C45CCF" w:rsidRPr="0000027B" w:rsidRDefault="00C45CCF" w:rsidP="00C45CCF">
      <w:pPr>
        <w:pStyle w:val="Standard"/>
        <w:rPr>
          <w:rFonts w:cs="Times New Roman"/>
          <w:lang w:val="fr-BE"/>
        </w:rPr>
      </w:pPr>
      <w:r w:rsidRPr="0000027B">
        <w:rPr>
          <w:rFonts w:cs="Times New Roman"/>
          <w:lang w:val="fr-BE"/>
        </w:rPr>
        <w:t>CONTRE :</w:t>
      </w:r>
    </w:p>
    <w:p w14:paraId="6ECDC000" w14:textId="77777777" w:rsidR="00C45CCF" w:rsidRPr="0000027B" w:rsidRDefault="00C45CCF" w:rsidP="00C45CCF">
      <w:pPr>
        <w:pStyle w:val="Standard"/>
        <w:ind w:left="1395"/>
        <w:rPr>
          <w:rFonts w:cs="Times New Roman"/>
          <w:lang w:val="fr-BE"/>
        </w:rPr>
      </w:pPr>
    </w:p>
    <w:p w14:paraId="664BB257" w14:textId="77777777" w:rsidR="00FE52EF" w:rsidRPr="007D3CEF" w:rsidRDefault="007D3CEF" w:rsidP="007D3CEF">
      <w:pPr>
        <w:tabs>
          <w:tab w:val="left" w:pos="851"/>
          <w:tab w:val="left" w:pos="1758"/>
        </w:tabs>
        <w:rPr>
          <w:rFonts w:eastAsia="Courier" w:cstheme="minorHAnsi"/>
          <w:bCs/>
          <w:color w:val="010101"/>
        </w:rPr>
      </w:pPr>
      <w:r>
        <w:rPr>
          <w:rFonts w:eastAsia="Courier" w:cstheme="minorHAnsi"/>
          <w:b/>
          <w:bCs/>
          <w:color w:val="010101"/>
        </w:rPr>
        <w:tab/>
        <w:t xml:space="preserve">        </w:t>
      </w:r>
      <w:r w:rsidRPr="00D1539A">
        <w:rPr>
          <w:rFonts w:eastAsia="Courier" w:cstheme="minorHAnsi"/>
          <w:b/>
          <w:bCs/>
          <w:color w:val="010101"/>
        </w:rPr>
        <w:t>Agence fédérale des risques professionnels, en abrégé FEDRIS</w:t>
      </w:r>
      <w:r w:rsidRPr="00D1539A">
        <w:rPr>
          <w:rFonts w:eastAsia="Courier" w:cstheme="minorHAnsi"/>
          <w:bCs/>
          <w:color w:val="010101"/>
        </w:rPr>
        <w:t xml:space="preserve">, </w:t>
      </w:r>
      <w:r>
        <w:rPr>
          <w:rFonts w:eastAsia="Courier" w:cstheme="minorHAnsi"/>
          <w:bCs/>
          <w:color w:val="010101"/>
        </w:rPr>
        <w:tab/>
        <w:t xml:space="preserve">        </w:t>
      </w:r>
      <w:r w:rsidRPr="00D1539A">
        <w:rPr>
          <w:rFonts w:eastAsia="Courier" w:cstheme="minorHAnsi"/>
          <w:bCs/>
          <w:color w:val="010101"/>
        </w:rPr>
        <w:t xml:space="preserve">inscrite à la BCE sous le n° 0206.734.318, ayant son siège social avenue </w:t>
      </w:r>
      <w:r>
        <w:rPr>
          <w:rFonts w:eastAsia="Courier" w:cstheme="minorHAnsi"/>
          <w:bCs/>
          <w:color w:val="010101"/>
        </w:rPr>
        <w:tab/>
        <w:t xml:space="preserve">        </w:t>
      </w:r>
      <w:r w:rsidRPr="00D1539A">
        <w:rPr>
          <w:rFonts w:eastAsia="Courier" w:cstheme="minorHAnsi"/>
          <w:bCs/>
          <w:color w:val="010101"/>
        </w:rPr>
        <w:t>de l'Astronomie, 1 à 1210 SAINT-JOSSE-TEN-NOODE.</w:t>
      </w:r>
    </w:p>
    <w:p w14:paraId="010594A4" w14:textId="77777777" w:rsidR="00FE52EF" w:rsidRPr="00FE52EF" w:rsidRDefault="002556E6" w:rsidP="00FE52EF">
      <w:pPr>
        <w:pStyle w:val="Standard"/>
        <w:ind w:left="1395"/>
        <w:jc w:val="both"/>
        <w:rPr>
          <w:rFonts w:cs="Times New Roman"/>
          <w:bCs/>
          <w:lang w:val="fr-BE"/>
        </w:rPr>
      </w:pPr>
      <w:r w:rsidRPr="002556E6">
        <w:rPr>
          <w:rFonts w:eastAsia="Arial" w:cs="Times New Roman"/>
          <w:bCs/>
          <w:color w:val="010101"/>
          <w:lang w:val="fr-BE"/>
        </w:rPr>
        <w:t xml:space="preserve">Partie défenderesse comparaissant par </w:t>
      </w:r>
      <w:r w:rsidRPr="002556E6">
        <w:rPr>
          <w:rFonts w:eastAsia="Courier" w:cstheme="minorHAnsi"/>
          <w:bCs/>
          <w:color w:val="010101"/>
          <w:lang w:val="fr-BE"/>
        </w:rPr>
        <w:t xml:space="preserve">Maître RAHIER Marie-Noëlle loco </w:t>
      </w:r>
      <w:r w:rsidRPr="002556E6">
        <w:rPr>
          <w:rFonts w:eastAsia="Courier" w:cstheme="minorHAnsi"/>
          <w:bCs/>
          <w:color w:val="010101"/>
          <w:lang w:val="fr-BE"/>
        </w:rPr>
        <w:tab/>
        <w:t>Maître DELFOSSE Vincent, avocat à LIEGE.</w:t>
      </w:r>
    </w:p>
    <w:p w14:paraId="4E2413AC" w14:textId="77777777" w:rsidR="003E234C" w:rsidRPr="0000027B" w:rsidRDefault="003E234C" w:rsidP="003E234C">
      <w:pPr>
        <w:pStyle w:val="Standard"/>
        <w:jc w:val="both"/>
        <w:rPr>
          <w:rFonts w:cs="Times New Roman"/>
          <w:lang w:val="fr-BE"/>
        </w:rPr>
      </w:pPr>
    </w:p>
    <w:bookmarkEnd w:id="0"/>
    <w:p w14:paraId="59137AE3" w14:textId="77777777" w:rsidR="00712B25" w:rsidRPr="0000027B" w:rsidRDefault="00712B25">
      <w:pPr>
        <w:pStyle w:val="Standard"/>
        <w:jc w:val="both"/>
        <w:rPr>
          <w:rFonts w:cs="Times New Roman"/>
          <w:lang w:val="fr-BE"/>
        </w:rPr>
      </w:pPr>
    </w:p>
    <w:p w14:paraId="5B5E2DC1" w14:textId="77777777" w:rsidR="00834670" w:rsidRPr="0000027B" w:rsidRDefault="00712B25" w:rsidP="00712B25">
      <w:pPr>
        <w:pStyle w:val="Textbody"/>
        <w:ind w:firstLine="709"/>
        <w:jc w:val="center"/>
        <w:rPr>
          <w:rFonts w:cs="Times New Roman"/>
          <w:b/>
          <w:i/>
          <w:lang w:val="fr-BE"/>
        </w:rPr>
      </w:pPr>
      <w:r w:rsidRPr="0000027B">
        <w:rPr>
          <w:rFonts w:cs="Times New Roman"/>
          <w:b/>
          <w:i/>
          <w:lang w:val="fr-BE"/>
        </w:rPr>
        <w:t>Dans le droit,</w:t>
      </w:r>
    </w:p>
    <w:p w14:paraId="470E3668" w14:textId="77777777" w:rsidR="00DB7A0C" w:rsidRPr="0000027B" w:rsidRDefault="00DB7A0C" w:rsidP="00F621E2">
      <w:pPr>
        <w:tabs>
          <w:tab w:val="left" w:pos="-1440"/>
        </w:tabs>
        <w:snapToGrid w:val="0"/>
        <w:jc w:val="both"/>
        <w:rPr>
          <w:rFonts w:cs="Times New Roman"/>
        </w:rPr>
      </w:pPr>
    </w:p>
    <w:p w14:paraId="0749FFD6" w14:textId="77777777" w:rsidR="00837E56" w:rsidRPr="00837E56" w:rsidRDefault="00837E56" w:rsidP="00837E56">
      <w:pPr>
        <w:tabs>
          <w:tab w:val="left" w:pos="-1440"/>
        </w:tabs>
        <w:snapToGrid w:val="0"/>
        <w:jc w:val="both"/>
        <w:rPr>
          <w:rFonts w:cs="Times New Roman"/>
          <w:lang w:val="fr-FR"/>
        </w:rPr>
      </w:pPr>
      <w:r w:rsidRPr="00837E56">
        <w:rPr>
          <w:rFonts w:cs="Times New Roman"/>
          <w:b/>
          <w:lang w:val="fr-FR"/>
        </w:rPr>
        <w:t xml:space="preserve">VU </w:t>
      </w:r>
      <w:r w:rsidRPr="00837E56">
        <w:rPr>
          <w:rFonts w:cs="Times New Roman"/>
          <w:lang w:val="fr-FR"/>
        </w:rPr>
        <w:t>le dossier de la procédure à la clôture des débats à l'audience publique du</w:t>
      </w:r>
      <w:r w:rsidR="00762678">
        <w:rPr>
          <w:rFonts w:cs="Times New Roman"/>
          <w:lang w:val="fr-FR"/>
        </w:rPr>
        <w:t xml:space="preserve"> </w:t>
      </w:r>
      <w:r w:rsidR="00043B40">
        <w:rPr>
          <w:rFonts w:cs="Times New Roman"/>
          <w:lang w:val="fr-FR"/>
        </w:rPr>
        <w:t>23 juin 2022</w:t>
      </w:r>
      <w:r w:rsidR="00000644">
        <w:rPr>
          <w:rFonts w:cs="Times New Roman"/>
          <w:lang w:val="fr-FR"/>
        </w:rPr>
        <w:t xml:space="preserve"> et </w:t>
      </w:r>
      <w:r w:rsidRPr="00837E56">
        <w:rPr>
          <w:rFonts w:cs="Times New Roman"/>
          <w:lang w:val="fr-FR"/>
        </w:rPr>
        <w:t xml:space="preserve"> notamment :</w:t>
      </w:r>
    </w:p>
    <w:p w14:paraId="3CE8763B" w14:textId="77777777" w:rsidR="00837E56" w:rsidRDefault="00837E56" w:rsidP="00837E56">
      <w:pPr>
        <w:tabs>
          <w:tab w:val="left" w:pos="-1440"/>
        </w:tabs>
        <w:snapToGrid w:val="0"/>
        <w:jc w:val="both"/>
        <w:rPr>
          <w:rFonts w:cs="Times New Roman"/>
          <w:lang w:val="fr-FR"/>
        </w:rPr>
      </w:pPr>
    </w:p>
    <w:p w14:paraId="3D0C85D5" w14:textId="77777777" w:rsidR="00043B40" w:rsidRPr="00996322" w:rsidRDefault="00043B40" w:rsidP="00837E56">
      <w:pPr>
        <w:tabs>
          <w:tab w:val="left" w:pos="-1440"/>
        </w:tabs>
        <w:snapToGrid w:val="0"/>
        <w:jc w:val="both"/>
        <w:rPr>
          <w:rFonts w:cs="Times New Roman"/>
          <w:b/>
          <w:lang w:val="fr-FR"/>
        </w:rPr>
      </w:pPr>
      <w:r w:rsidRPr="00996322">
        <w:rPr>
          <w:rFonts w:cs="Times New Roman"/>
          <w:b/>
          <w:lang w:val="fr-FR"/>
        </w:rPr>
        <w:t>RG</w:t>
      </w:r>
      <w:r w:rsidR="00996322" w:rsidRPr="00996322">
        <w:rPr>
          <w:rFonts w:cs="Times New Roman"/>
          <w:b/>
          <w:lang w:val="fr-FR"/>
        </w:rPr>
        <w:t xml:space="preserve"> </w:t>
      </w:r>
      <w:r w:rsidR="00996322" w:rsidRPr="00996322">
        <w:rPr>
          <w:rFonts w:cs="Times New Roman"/>
          <w:b/>
        </w:rPr>
        <w:t>21/339/A</w:t>
      </w:r>
    </w:p>
    <w:p w14:paraId="24771266" w14:textId="77777777" w:rsidR="00043B40" w:rsidRPr="00837E56" w:rsidRDefault="00043B40" w:rsidP="00837E56">
      <w:pPr>
        <w:tabs>
          <w:tab w:val="left" w:pos="-1440"/>
        </w:tabs>
        <w:snapToGrid w:val="0"/>
        <w:jc w:val="both"/>
        <w:rPr>
          <w:rFonts w:cs="Times New Roman"/>
          <w:lang w:val="fr-FR"/>
        </w:rPr>
      </w:pPr>
    </w:p>
    <w:p w14:paraId="07099A9D" w14:textId="77777777" w:rsidR="00837E56" w:rsidRDefault="00837E56" w:rsidP="00837E56">
      <w:pPr>
        <w:tabs>
          <w:tab w:val="left" w:pos="-1440"/>
        </w:tabs>
        <w:snapToGrid w:val="0"/>
        <w:jc w:val="both"/>
        <w:rPr>
          <w:rFonts w:cs="Times New Roman"/>
          <w:lang w:val="fr-FR"/>
        </w:rPr>
      </w:pPr>
      <w:r w:rsidRPr="00FE52EF">
        <w:rPr>
          <w:rFonts w:cs="Times New Roman"/>
          <w:lang w:val="fr-FR"/>
        </w:rPr>
        <w:t>- la requête contradictoire d’instance déposée au greffe le</w:t>
      </w:r>
      <w:r w:rsidR="00996322">
        <w:rPr>
          <w:rFonts w:cs="Times New Roman"/>
          <w:lang w:val="fr-FR"/>
        </w:rPr>
        <w:t xml:space="preserve"> 14 juin 2021</w:t>
      </w:r>
      <w:r w:rsidR="00EF5EC3">
        <w:rPr>
          <w:rFonts w:cs="Times New Roman"/>
          <w:lang w:val="fr-FR"/>
        </w:rPr>
        <w:t xml:space="preserve"> </w:t>
      </w:r>
      <w:r w:rsidRPr="00FE52EF">
        <w:rPr>
          <w:rFonts w:cs="Times New Roman"/>
          <w:lang w:val="fr-FR"/>
        </w:rPr>
        <w:t>introduisant recours contre une décision d</w:t>
      </w:r>
      <w:r w:rsidR="00134D9C" w:rsidRPr="00FE52EF">
        <w:rPr>
          <w:rFonts w:cs="Times New Roman"/>
          <w:lang w:val="fr-FR"/>
        </w:rPr>
        <w:t>e la partie défenderesse</w:t>
      </w:r>
      <w:r w:rsidRPr="00FE52EF">
        <w:rPr>
          <w:rFonts w:cs="Times New Roman"/>
          <w:lang w:val="fr-FR"/>
        </w:rPr>
        <w:t>;</w:t>
      </w:r>
    </w:p>
    <w:p w14:paraId="167D3E6C" w14:textId="77777777" w:rsidR="00996322" w:rsidRDefault="00996322" w:rsidP="00996322">
      <w:pPr>
        <w:tabs>
          <w:tab w:val="left" w:pos="-1440"/>
          <w:tab w:val="left" w:pos="5616"/>
        </w:tabs>
        <w:snapToGrid w:val="0"/>
        <w:jc w:val="both"/>
        <w:rPr>
          <w:rFonts w:cs="Times New Roman"/>
          <w:lang w:val="fr-FR"/>
        </w:rPr>
      </w:pPr>
      <w:r>
        <w:rPr>
          <w:rFonts w:cs="Times New Roman"/>
          <w:lang w:val="fr-FR"/>
        </w:rPr>
        <w:tab/>
      </w:r>
    </w:p>
    <w:p w14:paraId="5DD0705A" w14:textId="77777777" w:rsidR="00996322" w:rsidRPr="00FE52EF" w:rsidRDefault="00996322" w:rsidP="00837E56">
      <w:pPr>
        <w:tabs>
          <w:tab w:val="left" w:pos="-1440"/>
        </w:tabs>
        <w:snapToGrid w:val="0"/>
        <w:jc w:val="both"/>
        <w:rPr>
          <w:rFonts w:cs="Times New Roman"/>
          <w:lang w:val="fr-FR"/>
        </w:rPr>
      </w:pPr>
      <w:r>
        <w:rPr>
          <w:rFonts w:cs="Times New Roman"/>
          <w:lang w:val="fr-FR"/>
        </w:rPr>
        <w:t>- le dossier de pièces de la partie demanderesse déposé au greffe le 16 septembre 2021 ;</w:t>
      </w:r>
    </w:p>
    <w:p w14:paraId="2073129A" w14:textId="77777777" w:rsidR="00837E56" w:rsidRPr="00FE52EF" w:rsidRDefault="00837E56" w:rsidP="00837E56">
      <w:pPr>
        <w:tabs>
          <w:tab w:val="left" w:pos="-1440"/>
        </w:tabs>
        <w:snapToGrid w:val="0"/>
        <w:jc w:val="both"/>
        <w:rPr>
          <w:rFonts w:cs="Times New Roman"/>
          <w:lang w:val="fr-FR"/>
        </w:rPr>
      </w:pPr>
    </w:p>
    <w:p w14:paraId="799D529E" w14:textId="77777777" w:rsidR="00837E56" w:rsidRPr="00837E56" w:rsidRDefault="00134D9C" w:rsidP="00837E56">
      <w:pPr>
        <w:tabs>
          <w:tab w:val="left" w:pos="-1440"/>
        </w:tabs>
        <w:snapToGrid w:val="0"/>
        <w:jc w:val="both"/>
        <w:rPr>
          <w:rFonts w:cs="Times New Roman"/>
          <w:lang w:val="fr-FR"/>
        </w:rPr>
      </w:pPr>
      <w:r w:rsidRPr="00FE52EF">
        <w:rPr>
          <w:rFonts w:cs="Times New Roman"/>
          <w:lang w:val="fr-FR"/>
        </w:rPr>
        <w:t>-</w:t>
      </w:r>
      <w:r w:rsidR="00837E56" w:rsidRPr="00FE52EF">
        <w:rPr>
          <w:rFonts w:cs="Times New Roman"/>
          <w:lang w:val="fr-FR"/>
        </w:rPr>
        <w:t xml:space="preserve"> les conclusions déposées pour la partie défenderesse </w:t>
      </w:r>
      <w:r w:rsidR="00EF5EC3">
        <w:rPr>
          <w:rFonts w:cs="Times New Roman"/>
          <w:lang w:val="fr-FR"/>
        </w:rPr>
        <w:t>au greffe</w:t>
      </w:r>
      <w:r w:rsidR="00837E56" w:rsidRPr="00FE52EF">
        <w:rPr>
          <w:rFonts w:cs="Times New Roman"/>
          <w:lang w:val="fr-FR"/>
        </w:rPr>
        <w:t xml:space="preserve"> en date du</w:t>
      </w:r>
      <w:r w:rsidR="00996322">
        <w:rPr>
          <w:rFonts w:cs="Times New Roman"/>
          <w:lang w:val="fr-FR"/>
        </w:rPr>
        <w:t xml:space="preserve"> 25 janvier 2022</w:t>
      </w:r>
      <w:r w:rsidR="00837E56" w:rsidRPr="00FE52EF">
        <w:rPr>
          <w:rFonts w:cs="Times New Roman"/>
          <w:lang w:val="fr-FR"/>
        </w:rPr>
        <w:t>;</w:t>
      </w:r>
    </w:p>
    <w:p w14:paraId="23776BD7" w14:textId="77777777" w:rsidR="00837E56" w:rsidRDefault="00837E56" w:rsidP="00837E56">
      <w:pPr>
        <w:tabs>
          <w:tab w:val="left" w:pos="-1440"/>
        </w:tabs>
        <w:snapToGrid w:val="0"/>
        <w:jc w:val="both"/>
        <w:rPr>
          <w:rFonts w:cs="Times New Roman"/>
          <w:lang w:val="fr-FR"/>
        </w:rPr>
      </w:pPr>
    </w:p>
    <w:p w14:paraId="3770D512" w14:textId="77777777" w:rsidR="00EF5EC3" w:rsidRDefault="00EF5EC3" w:rsidP="00EF5EC3">
      <w:pPr>
        <w:tabs>
          <w:tab w:val="left" w:pos="-1440"/>
        </w:tabs>
        <w:snapToGrid w:val="0"/>
        <w:jc w:val="both"/>
        <w:rPr>
          <w:rFonts w:cs="Times New Roman"/>
          <w:lang w:val="fr-FR"/>
        </w:rPr>
      </w:pPr>
      <w:r w:rsidRPr="00FE52EF">
        <w:rPr>
          <w:rFonts w:cs="Times New Roman"/>
          <w:lang w:val="fr-FR"/>
        </w:rPr>
        <w:t>-</w:t>
      </w:r>
      <w:r w:rsidRPr="00FE52EF">
        <w:rPr>
          <w:rFonts w:cs="Times New Roman"/>
          <w:b/>
          <w:lang w:val="fr-FR"/>
        </w:rPr>
        <w:t xml:space="preserve"> </w:t>
      </w:r>
      <w:r w:rsidRPr="00FE52EF">
        <w:rPr>
          <w:rFonts w:cs="Times New Roman"/>
          <w:lang w:val="fr-FR"/>
        </w:rPr>
        <w:t>les conclusions déposées pour la partie demanderesse au greffe du Tribunal de Céans en date du</w:t>
      </w:r>
      <w:r w:rsidR="00996322">
        <w:rPr>
          <w:rFonts w:cs="Times New Roman"/>
          <w:lang w:val="fr-FR"/>
        </w:rPr>
        <w:t xml:space="preserve"> 28 février 2022 ;</w:t>
      </w:r>
    </w:p>
    <w:p w14:paraId="7EAAF5B1" w14:textId="77777777" w:rsidR="00996322" w:rsidRDefault="00996322" w:rsidP="00EF5EC3">
      <w:pPr>
        <w:tabs>
          <w:tab w:val="left" w:pos="-1440"/>
        </w:tabs>
        <w:snapToGrid w:val="0"/>
        <w:jc w:val="both"/>
        <w:rPr>
          <w:rFonts w:cs="Times New Roman"/>
          <w:lang w:val="fr-FR"/>
        </w:rPr>
      </w:pPr>
    </w:p>
    <w:p w14:paraId="7FA0858D" w14:textId="77777777" w:rsidR="00996322" w:rsidRPr="00FE52EF" w:rsidRDefault="00996322" w:rsidP="00EF5EC3">
      <w:pPr>
        <w:tabs>
          <w:tab w:val="left" w:pos="-1440"/>
        </w:tabs>
        <w:snapToGrid w:val="0"/>
        <w:jc w:val="both"/>
        <w:rPr>
          <w:rFonts w:cs="Times New Roman"/>
          <w:lang w:val="fr-FR"/>
        </w:rPr>
      </w:pPr>
      <w:r>
        <w:rPr>
          <w:rFonts w:cs="Times New Roman"/>
          <w:lang w:val="fr-FR"/>
        </w:rPr>
        <w:t>- le dossier de pièces déposé par la partie défenderesse à l’audience publique du 23 juin 2022.</w:t>
      </w:r>
    </w:p>
    <w:p w14:paraId="4C3074F9" w14:textId="77777777" w:rsidR="00EF5EC3" w:rsidRDefault="00EF5EC3" w:rsidP="00837E56">
      <w:pPr>
        <w:tabs>
          <w:tab w:val="left" w:pos="-1440"/>
        </w:tabs>
        <w:snapToGrid w:val="0"/>
        <w:jc w:val="both"/>
        <w:rPr>
          <w:rFonts w:cs="Times New Roman"/>
          <w:lang w:val="fr-FR"/>
        </w:rPr>
      </w:pPr>
    </w:p>
    <w:p w14:paraId="7A044CF2" w14:textId="77777777" w:rsidR="00043B40" w:rsidRDefault="00996322" w:rsidP="00837E56">
      <w:pPr>
        <w:tabs>
          <w:tab w:val="left" w:pos="-1440"/>
        </w:tabs>
        <w:snapToGrid w:val="0"/>
        <w:jc w:val="both"/>
        <w:rPr>
          <w:rFonts w:cs="Times New Roman"/>
          <w:b/>
        </w:rPr>
      </w:pPr>
      <w:r>
        <w:rPr>
          <w:rFonts w:cs="Times New Roman"/>
          <w:b/>
        </w:rPr>
        <w:t>RG 21/340/A</w:t>
      </w:r>
    </w:p>
    <w:p w14:paraId="1208CD9D" w14:textId="77777777" w:rsidR="00996322" w:rsidRDefault="00996322" w:rsidP="00837E56">
      <w:pPr>
        <w:tabs>
          <w:tab w:val="left" w:pos="-1440"/>
        </w:tabs>
        <w:snapToGrid w:val="0"/>
        <w:jc w:val="both"/>
        <w:rPr>
          <w:rFonts w:cs="Times New Roman"/>
          <w:lang w:val="fr-FR"/>
        </w:rPr>
      </w:pPr>
    </w:p>
    <w:p w14:paraId="76C4B083" w14:textId="77777777" w:rsidR="00043B40" w:rsidRPr="00FE52EF" w:rsidRDefault="00043B40" w:rsidP="00043B40">
      <w:pPr>
        <w:tabs>
          <w:tab w:val="left" w:pos="-1440"/>
        </w:tabs>
        <w:snapToGrid w:val="0"/>
        <w:jc w:val="both"/>
        <w:rPr>
          <w:rFonts w:cs="Times New Roman"/>
          <w:lang w:val="fr-FR"/>
        </w:rPr>
      </w:pPr>
      <w:r w:rsidRPr="00FE52EF">
        <w:rPr>
          <w:rFonts w:cs="Times New Roman"/>
          <w:lang w:val="fr-FR"/>
        </w:rPr>
        <w:t>- la requête contradictoire d’instance déposée au greffe le</w:t>
      </w:r>
      <w:r>
        <w:rPr>
          <w:rFonts w:cs="Times New Roman"/>
          <w:lang w:val="fr-FR"/>
        </w:rPr>
        <w:t xml:space="preserve"> </w:t>
      </w:r>
      <w:r w:rsidR="00996322">
        <w:rPr>
          <w:rFonts w:cs="Times New Roman"/>
          <w:lang w:val="fr-FR"/>
        </w:rPr>
        <w:t>14 juin 2021</w:t>
      </w:r>
      <w:r w:rsidRPr="00FE52EF">
        <w:rPr>
          <w:rFonts w:cs="Times New Roman"/>
          <w:lang w:val="fr-FR"/>
        </w:rPr>
        <w:t xml:space="preserve"> introduisant recours contre une décision de la partie défenderesse;</w:t>
      </w:r>
    </w:p>
    <w:p w14:paraId="72B47F6F" w14:textId="77777777" w:rsidR="00043B40" w:rsidRDefault="00043B40" w:rsidP="00043B40">
      <w:pPr>
        <w:tabs>
          <w:tab w:val="left" w:pos="-1440"/>
        </w:tabs>
        <w:snapToGrid w:val="0"/>
        <w:jc w:val="both"/>
        <w:rPr>
          <w:rFonts w:cs="Times New Roman"/>
          <w:lang w:val="fr-FR"/>
        </w:rPr>
      </w:pPr>
    </w:p>
    <w:p w14:paraId="1189AA41" w14:textId="77777777" w:rsidR="00996322" w:rsidRPr="00996322" w:rsidRDefault="00996322" w:rsidP="00996322">
      <w:pPr>
        <w:tabs>
          <w:tab w:val="left" w:pos="-1440"/>
        </w:tabs>
        <w:snapToGrid w:val="0"/>
        <w:jc w:val="both"/>
        <w:rPr>
          <w:rFonts w:cs="Times New Roman"/>
          <w:lang w:val="fr-FR"/>
        </w:rPr>
      </w:pPr>
      <w:r>
        <w:rPr>
          <w:rFonts w:cs="Times New Roman"/>
          <w:lang w:val="fr-FR"/>
        </w:rPr>
        <w:t xml:space="preserve">- </w:t>
      </w:r>
      <w:r w:rsidRPr="00996322">
        <w:rPr>
          <w:rFonts w:cs="Times New Roman"/>
          <w:lang w:val="fr-FR"/>
        </w:rPr>
        <w:t xml:space="preserve"> le dossier de pièces de la partie demanderesse déposé au greffe le 16 septembre 2021 ;</w:t>
      </w:r>
    </w:p>
    <w:p w14:paraId="69554CDD" w14:textId="77777777" w:rsidR="00996322" w:rsidRPr="00FE52EF" w:rsidRDefault="00996322" w:rsidP="00043B40">
      <w:pPr>
        <w:tabs>
          <w:tab w:val="left" w:pos="-1440"/>
        </w:tabs>
        <w:snapToGrid w:val="0"/>
        <w:jc w:val="both"/>
        <w:rPr>
          <w:rFonts w:cs="Times New Roman"/>
          <w:lang w:val="fr-FR"/>
        </w:rPr>
      </w:pPr>
    </w:p>
    <w:p w14:paraId="08729E8B" w14:textId="77777777" w:rsidR="00043B40" w:rsidRPr="00837E56" w:rsidRDefault="00043B40" w:rsidP="00043B40">
      <w:pPr>
        <w:tabs>
          <w:tab w:val="left" w:pos="-1440"/>
        </w:tabs>
        <w:snapToGrid w:val="0"/>
        <w:jc w:val="both"/>
        <w:rPr>
          <w:rFonts w:cs="Times New Roman"/>
          <w:lang w:val="fr-FR"/>
        </w:rPr>
      </w:pPr>
      <w:r w:rsidRPr="00FE52EF">
        <w:rPr>
          <w:rFonts w:cs="Times New Roman"/>
          <w:lang w:val="fr-FR"/>
        </w:rPr>
        <w:t xml:space="preserve">- les conclusions déposées pour la partie défenderesse </w:t>
      </w:r>
      <w:r>
        <w:rPr>
          <w:rFonts w:cs="Times New Roman"/>
          <w:lang w:val="fr-FR"/>
        </w:rPr>
        <w:t>au greffe</w:t>
      </w:r>
      <w:r w:rsidRPr="00FE52EF">
        <w:rPr>
          <w:rFonts w:cs="Times New Roman"/>
          <w:lang w:val="fr-FR"/>
        </w:rPr>
        <w:t xml:space="preserve"> en date du</w:t>
      </w:r>
      <w:r>
        <w:rPr>
          <w:rFonts w:cs="Times New Roman"/>
          <w:lang w:val="fr-FR"/>
        </w:rPr>
        <w:t xml:space="preserve"> </w:t>
      </w:r>
      <w:r w:rsidR="00996322">
        <w:rPr>
          <w:rFonts w:cs="Times New Roman"/>
          <w:lang w:val="fr-FR"/>
        </w:rPr>
        <w:t>25 janvier 2022</w:t>
      </w:r>
      <w:r>
        <w:rPr>
          <w:rFonts w:cs="Times New Roman"/>
          <w:lang w:val="fr-FR"/>
        </w:rPr>
        <w:t xml:space="preserve"> </w:t>
      </w:r>
      <w:r w:rsidRPr="00FE52EF">
        <w:rPr>
          <w:rFonts w:cs="Times New Roman"/>
          <w:lang w:val="fr-FR"/>
        </w:rPr>
        <w:t xml:space="preserve"> ;</w:t>
      </w:r>
    </w:p>
    <w:p w14:paraId="3038EF52" w14:textId="77777777" w:rsidR="00043B40" w:rsidRDefault="00043B40" w:rsidP="00837E56">
      <w:pPr>
        <w:tabs>
          <w:tab w:val="left" w:pos="-1440"/>
        </w:tabs>
        <w:snapToGrid w:val="0"/>
        <w:jc w:val="both"/>
        <w:rPr>
          <w:rFonts w:cs="Times New Roman"/>
          <w:lang w:val="fr-FR"/>
        </w:rPr>
      </w:pPr>
    </w:p>
    <w:p w14:paraId="1341F8CE" w14:textId="77777777" w:rsidR="00996322" w:rsidRPr="00FE52EF" w:rsidRDefault="00996322" w:rsidP="00996322">
      <w:pPr>
        <w:tabs>
          <w:tab w:val="left" w:pos="-1440"/>
        </w:tabs>
        <w:snapToGrid w:val="0"/>
        <w:jc w:val="both"/>
        <w:rPr>
          <w:rFonts w:cs="Times New Roman"/>
          <w:lang w:val="fr-FR"/>
        </w:rPr>
      </w:pPr>
      <w:r>
        <w:rPr>
          <w:rFonts w:cs="Times New Roman"/>
          <w:lang w:val="fr-FR"/>
        </w:rPr>
        <w:t>- le dossier de pièces déposé par la partie défenderesse à l’audience publique du 23 juin 2022.</w:t>
      </w:r>
    </w:p>
    <w:p w14:paraId="64F2AC68" w14:textId="77777777" w:rsidR="00996322" w:rsidRDefault="00996322" w:rsidP="00837E56">
      <w:pPr>
        <w:tabs>
          <w:tab w:val="left" w:pos="-1440"/>
        </w:tabs>
        <w:snapToGrid w:val="0"/>
        <w:jc w:val="both"/>
        <w:rPr>
          <w:rFonts w:cs="Times New Roman"/>
          <w:lang w:val="fr-FR"/>
        </w:rPr>
      </w:pPr>
    </w:p>
    <w:p w14:paraId="4CCD0D1D" w14:textId="77777777" w:rsidR="00043B40" w:rsidRPr="00837E56" w:rsidRDefault="00043B40" w:rsidP="00837E56">
      <w:pPr>
        <w:tabs>
          <w:tab w:val="left" w:pos="-1440"/>
        </w:tabs>
        <w:snapToGrid w:val="0"/>
        <w:jc w:val="both"/>
        <w:rPr>
          <w:rFonts w:cs="Times New Roman"/>
          <w:lang w:val="fr-FR"/>
        </w:rPr>
      </w:pPr>
    </w:p>
    <w:p w14:paraId="717CEA9F" w14:textId="77777777" w:rsidR="00837E56" w:rsidRPr="00837E56" w:rsidRDefault="00837E56" w:rsidP="00837E56">
      <w:pPr>
        <w:tabs>
          <w:tab w:val="left" w:pos="-1440"/>
        </w:tabs>
        <w:snapToGrid w:val="0"/>
        <w:jc w:val="both"/>
        <w:rPr>
          <w:rFonts w:cs="Times New Roman"/>
          <w:lang w:val="fr-FR"/>
        </w:rPr>
      </w:pPr>
      <w:r w:rsidRPr="00837E56">
        <w:rPr>
          <w:rFonts w:cs="Times New Roman"/>
          <w:b/>
          <w:lang w:val="fr-FR"/>
        </w:rPr>
        <w:t xml:space="preserve">VU </w:t>
      </w:r>
      <w:r w:rsidRPr="00837E56">
        <w:rPr>
          <w:rFonts w:cs="Times New Roman"/>
          <w:lang w:val="fr-FR"/>
        </w:rPr>
        <w:t>les dispositions de la loi du 15 juin 1935 sur l'emploi des langues en matière judiciaire dont le respect a été assuré ;</w:t>
      </w:r>
    </w:p>
    <w:p w14:paraId="6041D4D7" w14:textId="77777777" w:rsidR="00837E56" w:rsidRPr="00837E56" w:rsidRDefault="00837E56" w:rsidP="00837E56">
      <w:pPr>
        <w:tabs>
          <w:tab w:val="left" w:pos="-1440"/>
        </w:tabs>
        <w:snapToGrid w:val="0"/>
        <w:jc w:val="both"/>
        <w:rPr>
          <w:rFonts w:cs="Times New Roman"/>
          <w:lang w:val="fr-FR"/>
        </w:rPr>
      </w:pPr>
    </w:p>
    <w:p w14:paraId="588F1857" w14:textId="77777777" w:rsidR="00730873" w:rsidRDefault="00730873" w:rsidP="00730873">
      <w:pPr>
        <w:tabs>
          <w:tab w:val="left" w:pos="-1440"/>
        </w:tabs>
        <w:snapToGrid w:val="0"/>
        <w:jc w:val="both"/>
        <w:rPr>
          <w:rFonts w:cs="Times New Roman"/>
        </w:rPr>
      </w:pPr>
      <w:r w:rsidRPr="00196099">
        <w:rPr>
          <w:rFonts w:cs="Times New Roman"/>
        </w:rPr>
        <w:t>Après avoir entendu le</w:t>
      </w:r>
      <w:r>
        <w:rPr>
          <w:rFonts w:cs="Times New Roman"/>
        </w:rPr>
        <w:t>s</w:t>
      </w:r>
      <w:r w:rsidRPr="00196099">
        <w:rPr>
          <w:rFonts w:cs="Times New Roman"/>
        </w:rPr>
        <w:t xml:space="preserve"> conseil</w:t>
      </w:r>
      <w:r>
        <w:rPr>
          <w:rFonts w:cs="Times New Roman"/>
        </w:rPr>
        <w:t>s</w:t>
      </w:r>
      <w:r w:rsidRPr="00196099">
        <w:rPr>
          <w:rFonts w:cs="Times New Roman"/>
        </w:rPr>
        <w:t xml:space="preserve"> de</w:t>
      </w:r>
      <w:r>
        <w:rPr>
          <w:rFonts w:cs="Times New Roman"/>
        </w:rPr>
        <w:t>s parties</w:t>
      </w:r>
      <w:r w:rsidRPr="00196099">
        <w:rPr>
          <w:rFonts w:cs="Times New Roman"/>
        </w:rPr>
        <w:t xml:space="preserve"> à l’audience publique du </w:t>
      </w:r>
      <w:r w:rsidR="0095021C">
        <w:rPr>
          <w:rFonts w:cs="Times New Roman"/>
        </w:rPr>
        <w:t>2</w:t>
      </w:r>
      <w:r w:rsidR="00EE7CCD">
        <w:rPr>
          <w:rFonts w:cs="Times New Roman"/>
        </w:rPr>
        <w:t xml:space="preserve">3 juin 2022, </w:t>
      </w:r>
      <w:r w:rsidRPr="00196099">
        <w:rPr>
          <w:rFonts w:cs="Times New Roman"/>
        </w:rPr>
        <w:t xml:space="preserve">le tribunal a déclaré les débats clos, pris l’affaire en délibéré et fixé le prononcé du jugement à l’audience publique de ce jour. </w:t>
      </w:r>
    </w:p>
    <w:p w14:paraId="04A5B274" w14:textId="77777777" w:rsidR="00493AAA" w:rsidRPr="00196099" w:rsidRDefault="00493AAA" w:rsidP="00730873">
      <w:pPr>
        <w:tabs>
          <w:tab w:val="left" w:pos="-1440"/>
        </w:tabs>
        <w:snapToGrid w:val="0"/>
        <w:jc w:val="both"/>
        <w:rPr>
          <w:rFonts w:cs="Times New Roman"/>
        </w:rPr>
      </w:pPr>
    </w:p>
    <w:p w14:paraId="63BBAE62" w14:textId="77777777" w:rsidR="00F03C49" w:rsidRDefault="00F03C49" w:rsidP="00837E56">
      <w:pPr>
        <w:tabs>
          <w:tab w:val="left" w:pos="-1440"/>
        </w:tabs>
        <w:snapToGrid w:val="0"/>
        <w:jc w:val="both"/>
        <w:rPr>
          <w:rFonts w:cs="Times New Roman"/>
          <w:lang w:val="fr-FR"/>
        </w:rPr>
      </w:pPr>
    </w:p>
    <w:p w14:paraId="321DBFD1" w14:textId="77777777" w:rsidR="00043B40" w:rsidRDefault="00043B40" w:rsidP="00837E56">
      <w:pPr>
        <w:numPr>
          <w:ilvl w:val="0"/>
          <w:numId w:val="7"/>
        </w:numPr>
        <w:tabs>
          <w:tab w:val="left" w:pos="-1440"/>
        </w:tabs>
        <w:snapToGrid w:val="0"/>
        <w:jc w:val="both"/>
        <w:rPr>
          <w:rFonts w:cs="Times New Roman"/>
          <w:b/>
          <w:u w:val="single"/>
          <w:lang w:val="fr-FR"/>
        </w:rPr>
      </w:pPr>
      <w:r>
        <w:rPr>
          <w:rFonts w:cs="Times New Roman"/>
          <w:b/>
          <w:u w:val="single"/>
          <w:lang w:val="fr-FR"/>
        </w:rPr>
        <w:t>JONCTION ET RECEVABILITE.</w:t>
      </w:r>
    </w:p>
    <w:p w14:paraId="3A548314" w14:textId="77777777" w:rsidR="00043B40" w:rsidRDefault="00043B40" w:rsidP="00043B40">
      <w:pPr>
        <w:tabs>
          <w:tab w:val="left" w:pos="-1440"/>
        </w:tabs>
        <w:snapToGrid w:val="0"/>
        <w:jc w:val="both"/>
        <w:rPr>
          <w:rFonts w:cs="Times New Roman"/>
          <w:b/>
          <w:u w:val="single"/>
          <w:lang w:val="fr-FR"/>
        </w:rPr>
      </w:pPr>
    </w:p>
    <w:p w14:paraId="57355B0C" w14:textId="77777777" w:rsidR="00043B40" w:rsidRPr="0064132D" w:rsidRDefault="00043B40" w:rsidP="00043B40">
      <w:pPr>
        <w:tabs>
          <w:tab w:val="left" w:pos="-1440"/>
        </w:tabs>
        <w:rPr>
          <w:rFonts w:cs="Times New Roman"/>
        </w:rPr>
      </w:pPr>
      <w:r w:rsidRPr="0064132D">
        <w:rPr>
          <w:rFonts w:cs="Times New Roman"/>
        </w:rPr>
        <w:t xml:space="preserve">Les parties sollicitent la jonction des causes inscrites sous les n° de rôle </w:t>
      </w:r>
      <w:r>
        <w:rPr>
          <w:rFonts w:cs="Times New Roman"/>
        </w:rPr>
        <w:t>21</w:t>
      </w:r>
      <w:r w:rsidRPr="0064132D">
        <w:rPr>
          <w:rFonts w:cs="Times New Roman"/>
        </w:rPr>
        <w:t>/</w:t>
      </w:r>
      <w:r>
        <w:rPr>
          <w:rFonts w:cs="Times New Roman"/>
        </w:rPr>
        <w:t>339</w:t>
      </w:r>
      <w:r w:rsidRPr="0064132D">
        <w:rPr>
          <w:rFonts w:cs="Times New Roman"/>
        </w:rPr>
        <w:t xml:space="preserve">/A et </w:t>
      </w:r>
      <w:r>
        <w:rPr>
          <w:rFonts w:cs="Times New Roman"/>
        </w:rPr>
        <w:t>21</w:t>
      </w:r>
      <w:r w:rsidRPr="0064132D">
        <w:rPr>
          <w:rFonts w:cs="Times New Roman"/>
        </w:rPr>
        <w:t>/</w:t>
      </w:r>
      <w:r>
        <w:rPr>
          <w:rFonts w:cs="Times New Roman"/>
        </w:rPr>
        <w:t>340</w:t>
      </w:r>
      <w:r w:rsidRPr="0064132D">
        <w:rPr>
          <w:rFonts w:cs="Times New Roman"/>
        </w:rPr>
        <w:t>/A, ce à quoi le tribunal s’accorde, s’agissant de deux recours, entre mêmes parties, contre des décisions successives relatives à l’indemnisation de maladies professionnelles affectant la partie demanderesse, ceci afin de prévenir toutes difficultés pouvant résulter de l’existence de jugements distincts.</w:t>
      </w:r>
    </w:p>
    <w:p w14:paraId="34F2D1D2" w14:textId="77777777" w:rsidR="00043B40" w:rsidRPr="0064132D" w:rsidRDefault="00043B40" w:rsidP="00043B40">
      <w:pPr>
        <w:tabs>
          <w:tab w:val="left" w:pos="-1440"/>
        </w:tabs>
        <w:jc w:val="both"/>
        <w:rPr>
          <w:rFonts w:cs="Times New Roman"/>
        </w:rPr>
      </w:pPr>
    </w:p>
    <w:p w14:paraId="626845CC" w14:textId="77777777" w:rsidR="00043B40" w:rsidRDefault="00043B40" w:rsidP="00043B40">
      <w:pPr>
        <w:tabs>
          <w:tab w:val="left" w:pos="-1440"/>
        </w:tabs>
        <w:snapToGrid w:val="0"/>
        <w:jc w:val="both"/>
        <w:rPr>
          <w:rFonts w:cs="Times New Roman"/>
        </w:rPr>
      </w:pPr>
      <w:r w:rsidRPr="0064132D">
        <w:rPr>
          <w:rFonts w:cs="Times New Roman"/>
        </w:rPr>
        <w:t xml:space="preserve">Les deux actions sont </w:t>
      </w:r>
      <w:r>
        <w:rPr>
          <w:rFonts w:cs="Times New Roman"/>
        </w:rPr>
        <w:t xml:space="preserve">donc </w:t>
      </w:r>
      <w:r w:rsidRPr="0064132D">
        <w:rPr>
          <w:rFonts w:cs="Times New Roman"/>
        </w:rPr>
        <w:t>recevables pour avoir été introduites dans les formes et délai légaux, la partie demanderesse ayant qualité et intérêt pour les former</w:t>
      </w:r>
      <w:r>
        <w:rPr>
          <w:rFonts w:cs="Times New Roman"/>
        </w:rPr>
        <w:t>.</w:t>
      </w:r>
    </w:p>
    <w:p w14:paraId="554A7B26" w14:textId="77777777" w:rsidR="00043B40" w:rsidRPr="00043B40" w:rsidRDefault="00043B40" w:rsidP="00043B40">
      <w:pPr>
        <w:tabs>
          <w:tab w:val="left" w:pos="-1440"/>
        </w:tabs>
        <w:snapToGrid w:val="0"/>
        <w:jc w:val="both"/>
        <w:rPr>
          <w:rFonts w:cs="Times New Roman"/>
          <w:lang w:val="fr-FR"/>
        </w:rPr>
      </w:pPr>
    </w:p>
    <w:p w14:paraId="25634B0E" w14:textId="77777777" w:rsidR="00043B40" w:rsidRDefault="00043B40" w:rsidP="00043B40">
      <w:pPr>
        <w:tabs>
          <w:tab w:val="left" w:pos="-1440"/>
        </w:tabs>
        <w:snapToGrid w:val="0"/>
        <w:jc w:val="both"/>
        <w:rPr>
          <w:rFonts w:cs="Times New Roman"/>
          <w:b/>
          <w:u w:val="single"/>
          <w:lang w:val="fr-FR"/>
        </w:rPr>
      </w:pPr>
    </w:p>
    <w:p w14:paraId="6D43214A" w14:textId="77777777" w:rsidR="00837E56" w:rsidRPr="00837E56" w:rsidRDefault="00837E56" w:rsidP="00837E56">
      <w:pPr>
        <w:numPr>
          <w:ilvl w:val="0"/>
          <w:numId w:val="7"/>
        </w:numPr>
        <w:tabs>
          <w:tab w:val="left" w:pos="-1440"/>
        </w:tabs>
        <w:snapToGrid w:val="0"/>
        <w:jc w:val="both"/>
        <w:rPr>
          <w:rFonts w:cs="Times New Roman"/>
          <w:b/>
          <w:u w:val="single"/>
          <w:lang w:val="fr-FR"/>
        </w:rPr>
      </w:pPr>
      <w:r w:rsidRPr="00837E56">
        <w:rPr>
          <w:rFonts w:cs="Times New Roman"/>
          <w:b/>
          <w:u w:val="single"/>
          <w:lang w:val="fr-FR"/>
        </w:rPr>
        <w:t>FONDEMENT:</w:t>
      </w:r>
    </w:p>
    <w:p w14:paraId="4360FF7B" w14:textId="77777777" w:rsidR="00837E56" w:rsidRDefault="00837E56" w:rsidP="00837E56">
      <w:pPr>
        <w:tabs>
          <w:tab w:val="left" w:pos="-1440"/>
        </w:tabs>
        <w:snapToGrid w:val="0"/>
        <w:jc w:val="both"/>
        <w:rPr>
          <w:rFonts w:cs="Times New Roman"/>
          <w:lang w:val="fr-FR"/>
        </w:rPr>
      </w:pPr>
    </w:p>
    <w:p w14:paraId="7B35E53A" w14:textId="77777777" w:rsidR="00F84A66" w:rsidRPr="00837E56" w:rsidRDefault="00F84A66" w:rsidP="00837E56">
      <w:pPr>
        <w:tabs>
          <w:tab w:val="left" w:pos="-1440"/>
        </w:tabs>
        <w:snapToGrid w:val="0"/>
        <w:jc w:val="both"/>
        <w:rPr>
          <w:rFonts w:cs="Times New Roman"/>
          <w:lang w:val="fr-FR"/>
        </w:rPr>
      </w:pPr>
    </w:p>
    <w:p w14:paraId="5DA7D037" w14:textId="77777777" w:rsidR="00837E56" w:rsidRPr="00EE7CCD" w:rsidRDefault="00043B40" w:rsidP="00844366">
      <w:pPr>
        <w:pStyle w:val="Paragraphedeliste"/>
        <w:numPr>
          <w:ilvl w:val="0"/>
          <w:numId w:val="14"/>
        </w:numPr>
        <w:tabs>
          <w:tab w:val="left" w:pos="-1440"/>
        </w:tabs>
        <w:snapToGrid w:val="0"/>
        <w:jc w:val="both"/>
        <w:rPr>
          <w:rFonts w:cs="Times New Roman"/>
          <w:b/>
          <w:u w:val="single"/>
          <w:lang w:val="fr-FR"/>
        </w:rPr>
      </w:pPr>
      <w:r w:rsidRPr="00EE7CCD">
        <w:rPr>
          <w:rFonts w:cs="Times New Roman"/>
          <w:b/>
          <w:u w:val="single"/>
          <w:lang w:val="fr-FR"/>
        </w:rPr>
        <w:t>Maladie hors liste</w:t>
      </w:r>
    </w:p>
    <w:p w14:paraId="09EBA86C" w14:textId="77777777" w:rsidR="00837E56" w:rsidRPr="00730873" w:rsidRDefault="00837E56" w:rsidP="00837E56">
      <w:pPr>
        <w:tabs>
          <w:tab w:val="left" w:pos="-1440"/>
        </w:tabs>
        <w:snapToGrid w:val="0"/>
        <w:jc w:val="both"/>
        <w:rPr>
          <w:rFonts w:cs="Times New Roman"/>
          <w:bCs/>
          <w:lang w:val="fr-FR"/>
        </w:rPr>
      </w:pPr>
    </w:p>
    <w:p w14:paraId="30A8F3ED" w14:textId="77777777" w:rsidR="00837E56" w:rsidRPr="00837E56" w:rsidRDefault="00837E56" w:rsidP="00837E56">
      <w:pPr>
        <w:tabs>
          <w:tab w:val="left" w:pos="-1440"/>
        </w:tabs>
        <w:snapToGrid w:val="0"/>
        <w:jc w:val="both"/>
        <w:rPr>
          <w:rFonts w:cs="Times New Roman"/>
          <w:lang w:val="fr-FR"/>
        </w:rPr>
      </w:pPr>
      <w:r w:rsidRPr="00043B40">
        <w:rPr>
          <w:rFonts w:cs="Times New Roman"/>
          <w:u w:val="single"/>
          <w:lang w:val="fr-FR"/>
        </w:rPr>
        <w:t>La partie demanderesse</w:t>
      </w:r>
      <w:r w:rsidRPr="00837E56">
        <w:rPr>
          <w:rFonts w:cs="Times New Roman"/>
          <w:lang w:val="fr-FR"/>
        </w:rPr>
        <w:t xml:space="preserve"> a introduit une demande d’indemnisation de maladie professionnelle le </w:t>
      </w:r>
      <w:r w:rsidR="003675FD">
        <w:rPr>
          <w:rFonts w:cs="Times New Roman"/>
          <w:b/>
          <w:lang w:val="fr-FR"/>
        </w:rPr>
        <w:t>11 février 2020</w:t>
      </w:r>
      <w:r w:rsidRPr="00837E56">
        <w:rPr>
          <w:rFonts w:cs="Times New Roman"/>
          <w:lang w:val="fr-FR"/>
        </w:rPr>
        <w:t>, en vue d’obtenir l’indemnisation pour une maladie ne figurant pas sur la liste belge des maladies professionnelles donnant lieu à réparation  dans le cadre de l’article 30 bis des lois coordonnées du 3 juin 1970 (système ouvert – hors liste). </w:t>
      </w:r>
    </w:p>
    <w:p w14:paraId="5CA2A9E1" w14:textId="77777777" w:rsidR="00837E56" w:rsidRPr="00837E56" w:rsidRDefault="00837E56" w:rsidP="00837E56">
      <w:pPr>
        <w:tabs>
          <w:tab w:val="left" w:pos="-1440"/>
        </w:tabs>
        <w:snapToGrid w:val="0"/>
        <w:jc w:val="both"/>
        <w:rPr>
          <w:rFonts w:cs="Times New Roman"/>
          <w:bCs/>
          <w:lang w:val="fr-FR"/>
        </w:rPr>
      </w:pPr>
    </w:p>
    <w:p w14:paraId="675C1452" w14:textId="77777777" w:rsidR="00AB5F76" w:rsidRDefault="00837E56" w:rsidP="00837E56">
      <w:pPr>
        <w:tabs>
          <w:tab w:val="left" w:pos="-1440"/>
        </w:tabs>
        <w:snapToGrid w:val="0"/>
        <w:jc w:val="both"/>
        <w:rPr>
          <w:rFonts w:cs="Times New Roman"/>
          <w:lang w:val="fr-FR"/>
        </w:rPr>
      </w:pPr>
      <w:r w:rsidRPr="00837E56">
        <w:rPr>
          <w:rFonts w:cs="Times New Roman"/>
          <w:lang w:val="fr-FR"/>
        </w:rPr>
        <w:t>Par décision du</w:t>
      </w:r>
      <w:r w:rsidR="008D5034">
        <w:rPr>
          <w:rFonts w:cs="Times New Roman"/>
          <w:lang w:val="fr-FR"/>
        </w:rPr>
        <w:t xml:space="preserve"> </w:t>
      </w:r>
      <w:r w:rsidR="003675FD">
        <w:rPr>
          <w:rFonts w:cs="Times New Roman"/>
          <w:b/>
          <w:lang w:val="fr-FR"/>
        </w:rPr>
        <w:t>14 janvier 2021</w:t>
      </w:r>
      <w:r w:rsidRPr="00837E56">
        <w:rPr>
          <w:rFonts w:cs="Times New Roman"/>
          <w:lang w:val="fr-FR"/>
        </w:rPr>
        <w:t>, l</w:t>
      </w:r>
      <w:r w:rsidR="00134D9C">
        <w:rPr>
          <w:rFonts w:cs="Times New Roman"/>
          <w:lang w:val="fr-FR"/>
        </w:rPr>
        <w:t>a partie défenderesse a rejeté la demande</w:t>
      </w:r>
      <w:r w:rsidR="00AB5F76">
        <w:rPr>
          <w:rFonts w:cs="Times New Roman"/>
          <w:lang w:val="fr-FR"/>
        </w:rPr>
        <w:t>.</w:t>
      </w:r>
    </w:p>
    <w:p w14:paraId="52848A18" w14:textId="77777777" w:rsidR="00AB5F76" w:rsidRDefault="00AB5F76" w:rsidP="00837E56">
      <w:pPr>
        <w:tabs>
          <w:tab w:val="left" w:pos="-1440"/>
        </w:tabs>
        <w:snapToGrid w:val="0"/>
        <w:jc w:val="both"/>
        <w:rPr>
          <w:rFonts w:cs="Times New Roman"/>
          <w:lang w:val="fr-FR"/>
        </w:rPr>
      </w:pPr>
    </w:p>
    <w:p w14:paraId="41B2A1AC" w14:textId="77777777" w:rsidR="00FF5226" w:rsidRDefault="00AB5F76" w:rsidP="00837E56">
      <w:pPr>
        <w:tabs>
          <w:tab w:val="left" w:pos="-1440"/>
        </w:tabs>
        <w:snapToGrid w:val="0"/>
        <w:jc w:val="both"/>
        <w:rPr>
          <w:rFonts w:cs="Times New Roman"/>
          <w:lang w:val="fr-FR"/>
        </w:rPr>
      </w:pPr>
      <w:r>
        <w:rPr>
          <w:rFonts w:cs="Times New Roman"/>
          <w:lang w:val="fr-FR"/>
        </w:rPr>
        <w:t xml:space="preserve">Elle </w:t>
      </w:r>
      <w:r w:rsidR="00134D9C" w:rsidRPr="00AB5F76">
        <w:rPr>
          <w:rFonts w:cs="Times New Roman"/>
          <w:lang w:val="fr-FR"/>
        </w:rPr>
        <w:t>considère</w:t>
      </w:r>
      <w:r w:rsidR="00FF5226">
        <w:rPr>
          <w:rFonts w:cs="Times New Roman"/>
          <w:lang w:val="fr-FR"/>
        </w:rPr>
        <w:t xml:space="preserve"> </w:t>
      </w:r>
      <w:r w:rsidR="00C96736">
        <w:rPr>
          <w:rFonts w:cs="Times New Roman"/>
          <w:lang w:val="fr-FR"/>
        </w:rPr>
        <w:t>que</w:t>
      </w:r>
      <w:r w:rsidR="003675FD">
        <w:rPr>
          <w:rFonts w:cs="Times New Roman"/>
          <w:lang w:val="fr-FR"/>
        </w:rPr>
        <w:t xml:space="preserve"> la partie demanderesse n’apporte pas la preuve d’une exposition au risque professionnel</w:t>
      </w:r>
      <w:r w:rsidR="00A34DF8">
        <w:rPr>
          <w:rFonts w:cs="Times New Roman"/>
          <w:lang w:val="fr-FR"/>
        </w:rPr>
        <w:t>.</w:t>
      </w:r>
    </w:p>
    <w:p w14:paraId="7CF10CFC" w14:textId="77777777" w:rsidR="00837E56" w:rsidRPr="00837E56" w:rsidRDefault="00837E56" w:rsidP="00837E56">
      <w:pPr>
        <w:tabs>
          <w:tab w:val="left" w:pos="-1440"/>
        </w:tabs>
        <w:snapToGrid w:val="0"/>
        <w:jc w:val="both"/>
        <w:rPr>
          <w:rFonts w:cs="Times New Roman"/>
          <w:lang w:val="fr-FR"/>
        </w:rPr>
      </w:pPr>
    </w:p>
    <w:p w14:paraId="468C2704" w14:textId="77777777" w:rsidR="00837E56" w:rsidRDefault="00837E56" w:rsidP="00837E56">
      <w:pPr>
        <w:tabs>
          <w:tab w:val="left" w:pos="-1440"/>
        </w:tabs>
        <w:snapToGrid w:val="0"/>
        <w:jc w:val="both"/>
        <w:rPr>
          <w:rFonts w:cs="Times New Roman"/>
          <w:lang w:val="fr-FR"/>
        </w:rPr>
      </w:pPr>
      <w:r w:rsidRPr="00837E56">
        <w:rPr>
          <w:rFonts w:cs="Times New Roman"/>
          <w:lang w:val="fr-FR"/>
        </w:rPr>
        <w:t xml:space="preserve">La partie demanderesse </w:t>
      </w:r>
      <w:r w:rsidR="00134D9C">
        <w:rPr>
          <w:rFonts w:cs="Times New Roman"/>
          <w:lang w:val="fr-FR"/>
        </w:rPr>
        <w:t>entend cont</w:t>
      </w:r>
      <w:r w:rsidR="00F743E5">
        <w:rPr>
          <w:rFonts w:cs="Times New Roman"/>
          <w:lang w:val="fr-FR"/>
        </w:rPr>
        <w:t>ester cette décision sur base des</w:t>
      </w:r>
      <w:r w:rsidR="00134D9C">
        <w:rPr>
          <w:rFonts w:cs="Times New Roman"/>
          <w:lang w:val="fr-FR"/>
        </w:rPr>
        <w:t xml:space="preserve"> rapport</w:t>
      </w:r>
      <w:r w:rsidR="00F743E5">
        <w:rPr>
          <w:rFonts w:cs="Times New Roman"/>
          <w:lang w:val="fr-FR"/>
        </w:rPr>
        <w:t>s</w:t>
      </w:r>
      <w:r w:rsidR="00134D9C">
        <w:rPr>
          <w:rFonts w:cs="Times New Roman"/>
          <w:lang w:val="fr-FR"/>
        </w:rPr>
        <w:t xml:space="preserve"> médica</w:t>
      </w:r>
      <w:r w:rsidR="00F743E5">
        <w:rPr>
          <w:rFonts w:cs="Times New Roman"/>
          <w:lang w:val="fr-FR"/>
        </w:rPr>
        <w:t>ux</w:t>
      </w:r>
      <w:r w:rsidR="00134D9C">
        <w:rPr>
          <w:rFonts w:cs="Times New Roman"/>
          <w:lang w:val="fr-FR"/>
        </w:rPr>
        <w:t xml:space="preserve"> </w:t>
      </w:r>
      <w:r w:rsidR="00134D9C">
        <w:rPr>
          <w:rFonts w:cs="Times New Roman"/>
          <w:lang w:val="fr-FR"/>
        </w:rPr>
        <w:lastRenderedPageBreak/>
        <w:t>établi</w:t>
      </w:r>
      <w:r w:rsidR="00F743E5">
        <w:rPr>
          <w:rFonts w:cs="Times New Roman"/>
          <w:lang w:val="fr-FR"/>
        </w:rPr>
        <w:t>s</w:t>
      </w:r>
      <w:r w:rsidR="00134D9C">
        <w:rPr>
          <w:rFonts w:cs="Times New Roman"/>
          <w:lang w:val="fr-FR"/>
        </w:rPr>
        <w:t xml:space="preserve"> par son médecin conseil lequel estime que la partie demanderesse est bien atteinte de la maladie </w:t>
      </w:r>
      <w:r w:rsidR="00C97C16">
        <w:rPr>
          <w:rFonts w:cs="Times New Roman"/>
          <w:lang w:val="fr-FR"/>
        </w:rPr>
        <w:t xml:space="preserve">professionnelle revendiquée.  Elle </w:t>
      </w:r>
      <w:r w:rsidR="00134D9C">
        <w:rPr>
          <w:rFonts w:cs="Times New Roman"/>
          <w:lang w:val="fr-FR"/>
        </w:rPr>
        <w:t>sollicite un taux d’incapacité permanente partielle de 1</w:t>
      </w:r>
      <w:r w:rsidR="00F743E5">
        <w:rPr>
          <w:rFonts w:cs="Times New Roman"/>
          <w:lang w:val="fr-FR"/>
        </w:rPr>
        <w:t>0</w:t>
      </w:r>
      <w:r w:rsidR="00C96736">
        <w:rPr>
          <w:rFonts w:cs="Times New Roman"/>
          <w:lang w:val="fr-FR"/>
        </w:rPr>
        <w:t xml:space="preserve"> </w:t>
      </w:r>
      <w:r w:rsidR="00134D9C">
        <w:rPr>
          <w:rFonts w:cs="Times New Roman"/>
          <w:lang w:val="fr-FR"/>
        </w:rPr>
        <w:t>%, sans préjudice des facteurs socio-économiques à prendre en considération.</w:t>
      </w:r>
    </w:p>
    <w:p w14:paraId="09C1ADE2" w14:textId="77777777" w:rsidR="00AB5F76" w:rsidRDefault="00AB5F76" w:rsidP="00837E56">
      <w:pPr>
        <w:tabs>
          <w:tab w:val="left" w:pos="-1440"/>
        </w:tabs>
        <w:snapToGrid w:val="0"/>
        <w:jc w:val="both"/>
        <w:rPr>
          <w:rFonts w:cs="Times New Roman"/>
          <w:lang w:val="fr-FR"/>
        </w:rPr>
      </w:pPr>
    </w:p>
    <w:p w14:paraId="66385A04" w14:textId="77777777" w:rsidR="00B10288" w:rsidRDefault="00E05BF1" w:rsidP="00837E56">
      <w:pPr>
        <w:tabs>
          <w:tab w:val="left" w:pos="-1440"/>
        </w:tabs>
        <w:snapToGrid w:val="0"/>
        <w:jc w:val="both"/>
        <w:rPr>
          <w:rFonts w:cs="Times New Roman"/>
          <w:i/>
          <w:lang w:val="fr-FR"/>
        </w:rPr>
      </w:pPr>
      <w:r>
        <w:rPr>
          <w:rFonts w:cs="Times New Roman"/>
          <w:lang w:val="fr-FR"/>
        </w:rPr>
        <w:t>Elle considère que l</w:t>
      </w:r>
      <w:r w:rsidR="00F743E5">
        <w:rPr>
          <w:rFonts w:cs="Times New Roman"/>
          <w:lang w:val="fr-FR"/>
        </w:rPr>
        <w:t>’existence de la maladie professionnelle est établie dans le rapport du Docteur KUTA lequel précis</w:t>
      </w:r>
      <w:r w:rsidR="00FD2DC5">
        <w:rPr>
          <w:rFonts w:cs="Times New Roman"/>
          <w:lang w:val="fr-FR"/>
        </w:rPr>
        <w:t>e</w:t>
      </w:r>
      <w:r w:rsidR="00F743E5">
        <w:rPr>
          <w:rFonts w:cs="Times New Roman"/>
          <w:lang w:val="fr-FR"/>
        </w:rPr>
        <w:t xml:space="preserve"> </w:t>
      </w:r>
      <w:r w:rsidR="00EE7CCD">
        <w:rPr>
          <w:rFonts w:cs="Times New Roman"/>
          <w:lang w:val="fr-FR"/>
        </w:rPr>
        <w:t xml:space="preserve">en date du </w:t>
      </w:r>
      <w:r w:rsidR="003675FD">
        <w:rPr>
          <w:rFonts w:cs="Times New Roman"/>
          <w:lang w:val="fr-FR"/>
        </w:rPr>
        <w:t xml:space="preserve">2 février 2021 </w:t>
      </w:r>
      <w:r w:rsidR="00F743E5">
        <w:rPr>
          <w:rFonts w:cs="Times New Roman"/>
          <w:lang w:val="fr-FR"/>
        </w:rPr>
        <w:t>que « </w:t>
      </w:r>
      <w:r w:rsidR="003675FD">
        <w:rPr>
          <w:rFonts w:cs="Times New Roman"/>
          <w:i/>
          <w:lang w:val="fr-FR"/>
        </w:rPr>
        <w:t>Rhizarthrose bilatérale modérée à droite et plus évoluée à gauche</w:t>
      </w:r>
      <w:r w:rsidR="00F743E5">
        <w:rPr>
          <w:rFonts w:cs="Times New Roman"/>
          <w:i/>
          <w:lang w:val="fr-FR"/>
        </w:rPr>
        <w:t xml:space="preserve">. » </w:t>
      </w:r>
    </w:p>
    <w:p w14:paraId="1AE23E05" w14:textId="77777777" w:rsidR="00F743E5" w:rsidRDefault="00F743E5" w:rsidP="00837E56">
      <w:pPr>
        <w:tabs>
          <w:tab w:val="left" w:pos="-1440"/>
        </w:tabs>
        <w:snapToGrid w:val="0"/>
        <w:jc w:val="both"/>
        <w:rPr>
          <w:rFonts w:cs="Times New Roman"/>
          <w:lang w:val="fr-FR"/>
        </w:rPr>
      </w:pPr>
    </w:p>
    <w:p w14:paraId="7472153D" w14:textId="77777777" w:rsidR="00440B60" w:rsidRDefault="00440B60" w:rsidP="00837E56">
      <w:pPr>
        <w:tabs>
          <w:tab w:val="left" w:pos="-1440"/>
        </w:tabs>
        <w:snapToGrid w:val="0"/>
        <w:jc w:val="both"/>
        <w:rPr>
          <w:rFonts w:cs="Times New Roman"/>
          <w:lang w:val="fr-FR"/>
        </w:rPr>
      </w:pPr>
    </w:p>
    <w:p w14:paraId="57A5B3AE" w14:textId="77777777" w:rsidR="00440B60" w:rsidRDefault="00134D9C" w:rsidP="00837E56">
      <w:pPr>
        <w:tabs>
          <w:tab w:val="left" w:pos="-1440"/>
        </w:tabs>
        <w:snapToGrid w:val="0"/>
        <w:jc w:val="both"/>
        <w:rPr>
          <w:rFonts w:cs="Times New Roman"/>
          <w:lang w:val="fr-FR"/>
        </w:rPr>
      </w:pPr>
      <w:r w:rsidRPr="005B6BC3">
        <w:rPr>
          <w:rFonts w:cs="Times New Roman"/>
          <w:lang w:val="fr-FR"/>
        </w:rPr>
        <w:t xml:space="preserve">Par ailleurs, </w:t>
      </w:r>
      <w:r w:rsidR="00305FFD" w:rsidRPr="005B6BC3">
        <w:rPr>
          <w:rFonts w:cs="Times New Roman"/>
          <w:lang w:val="fr-FR"/>
        </w:rPr>
        <w:t>elle</w:t>
      </w:r>
      <w:r w:rsidRPr="005B6BC3">
        <w:rPr>
          <w:rFonts w:cs="Times New Roman"/>
          <w:lang w:val="fr-FR"/>
        </w:rPr>
        <w:t xml:space="preserve"> estime </w:t>
      </w:r>
      <w:r w:rsidR="00305FFD" w:rsidRPr="005B6BC3">
        <w:rPr>
          <w:rFonts w:cs="Times New Roman"/>
          <w:lang w:val="fr-FR"/>
        </w:rPr>
        <w:t>avoir</w:t>
      </w:r>
      <w:r w:rsidRPr="005B6BC3">
        <w:rPr>
          <w:rFonts w:cs="Times New Roman"/>
          <w:lang w:val="fr-FR"/>
        </w:rPr>
        <w:t xml:space="preserve"> été exposée</w:t>
      </w:r>
      <w:r w:rsidR="008750DB">
        <w:rPr>
          <w:rFonts w:cs="Times New Roman"/>
          <w:lang w:val="fr-FR"/>
        </w:rPr>
        <w:t xml:space="preserve"> </w:t>
      </w:r>
      <w:r w:rsidR="00440B60">
        <w:rPr>
          <w:rFonts w:cs="Times New Roman"/>
          <w:lang w:val="fr-FR"/>
        </w:rPr>
        <w:t>au risque professionnel.</w:t>
      </w:r>
    </w:p>
    <w:p w14:paraId="0AEAF10E" w14:textId="77777777" w:rsidR="00305FFD" w:rsidRDefault="00440B60" w:rsidP="00837E56">
      <w:pPr>
        <w:tabs>
          <w:tab w:val="left" w:pos="-1440"/>
        </w:tabs>
        <w:snapToGrid w:val="0"/>
        <w:jc w:val="both"/>
        <w:rPr>
          <w:rFonts w:cs="Times New Roman"/>
          <w:lang w:val="fr-FR"/>
        </w:rPr>
      </w:pPr>
      <w:r>
        <w:rPr>
          <w:rFonts w:cs="Times New Roman"/>
          <w:lang w:val="fr-FR"/>
        </w:rPr>
        <w:t>A cet effet, elle</w:t>
      </w:r>
      <w:r w:rsidR="008750DB">
        <w:rPr>
          <w:rFonts w:cs="Times New Roman"/>
          <w:lang w:val="fr-FR"/>
        </w:rPr>
        <w:t xml:space="preserve"> dépose</w:t>
      </w:r>
      <w:r w:rsidR="00F743E5">
        <w:rPr>
          <w:rFonts w:cs="Times New Roman"/>
          <w:lang w:val="fr-FR"/>
        </w:rPr>
        <w:t xml:space="preserve"> </w:t>
      </w:r>
      <w:r w:rsidR="008750DB">
        <w:rPr>
          <w:rFonts w:cs="Times New Roman"/>
          <w:lang w:val="fr-FR"/>
        </w:rPr>
        <w:t>un descriptif de sa carrière profe</w:t>
      </w:r>
      <w:r w:rsidR="00C17133">
        <w:rPr>
          <w:rFonts w:cs="Times New Roman"/>
          <w:lang w:val="fr-FR"/>
        </w:rPr>
        <w:t>s</w:t>
      </w:r>
      <w:r w:rsidR="008750DB">
        <w:rPr>
          <w:rFonts w:cs="Times New Roman"/>
          <w:lang w:val="fr-FR"/>
        </w:rPr>
        <w:t>sionnelle</w:t>
      </w:r>
      <w:r w:rsidR="003D653A">
        <w:rPr>
          <w:rFonts w:cs="Times New Roman"/>
          <w:lang w:val="fr-FR"/>
        </w:rPr>
        <w:t xml:space="preserve"> en qualité d</w:t>
      </w:r>
      <w:r w:rsidR="003675FD">
        <w:rPr>
          <w:rFonts w:cs="Times New Roman"/>
          <w:lang w:val="fr-FR"/>
        </w:rPr>
        <w:t>’ouvrière auprès de la SA D</w:t>
      </w:r>
      <w:r w:rsidR="003D653A">
        <w:rPr>
          <w:rFonts w:cs="Times New Roman"/>
          <w:lang w:val="fr-FR"/>
        </w:rPr>
        <w:t>.</w:t>
      </w:r>
    </w:p>
    <w:p w14:paraId="722E6D91" w14:textId="77777777" w:rsidR="003D653A" w:rsidRDefault="003D653A" w:rsidP="00837E56">
      <w:pPr>
        <w:tabs>
          <w:tab w:val="left" w:pos="-1440"/>
        </w:tabs>
        <w:snapToGrid w:val="0"/>
        <w:jc w:val="both"/>
        <w:rPr>
          <w:rFonts w:cs="Times New Roman"/>
          <w:lang w:val="fr-FR"/>
        </w:rPr>
      </w:pPr>
    </w:p>
    <w:p w14:paraId="7A2E3873" w14:textId="77777777" w:rsidR="003D653A" w:rsidRPr="00043B40" w:rsidRDefault="003D653A" w:rsidP="00837E56">
      <w:pPr>
        <w:tabs>
          <w:tab w:val="left" w:pos="-1440"/>
        </w:tabs>
        <w:snapToGrid w:val="0"/>
        <w:jc w:val="both"/>
        <w:rPr>
          <w:rFonts w:cs="Times New Roman"/>
          <w:lang w:val="fr-FR"/>
        </w:rPr>
      </w:pPr>
      <w:r w:rsidRPr="00043B40">
        <w:rPr>
          <w:rFonts w:cs="Times New Roman"/>
          <w:lang w:val="fr-FR"/>
        </w:rPr>
        <w:t xml:space="preserve">Elle </w:t>
      </w:r>
      <w:r w:rsidR="003675FD" w:rsidRPr="00043B40">
        <w:rPr>
          <w:rFonts w:cs="Times New Roman"/>
          <w:lang w:val="fr-FR"/>
        </w:rPr>
        <w:t>considère que l’exposition au risque professionnel est établie</w:t>
      </w:r>
      <w:r w:rsidRPr="00043B40">
        <w:rPr>
          <w:rFonts w:cs="Times New Roman"/>
          <w:lang w:val="fr-FR"/>
        </w:rPr>
        <w:t>.</w:t>
      </w:r>
    </w:p>
    <w:p w14:paraId="5A389FD1" w14:textId="77777777" w:rsidR="00BA59B3" w:rsidRPr="00043B40" w:rsidRDefault="00BA59B3" w:rsidP="00837E56">
      <w:pPr>
        <w:tabs>
          <w:tab w:val="left" w:pos="-1440"/>
        </w:tabs>
        <w:snapToGrid w:val="0"/>
        <w:jc w:val="both"/>
        <w:rPr>
          <w:rFonts w:cs="Times New Roman"/>
          <w:lang w:val="fr-FR"/>
        </w:rPr>
      </w:pPr>
    </w:p>
    <w:p w14:paraId="4958017F" w14:textId="77777777" w:rsidR="00134D9C" w:rsidRDefault="00BA59B3" w:rsidP="00837E56">
      <w:pPr>
        <w:tabs>
          <w:tab w:val="left" w:pos="-1440"/>
        </w:tabs>
        <w:snapToGrid w:val="0"/>
        <w:jc w:val="both"/>
        <w:rPr>
          <w:rFonts w:cs="Times New Roman"/>
          <w:lang w:val="fr-FR"/>
        </w:rPr>
      </w:pPr>
      <w:r w:rsidRPr="00043B40">
        <w:rPr>
          <w:rFonts w:cs="Times New Roman"/>
          <w:lang w:val="fr-FR"/>
        </w:rPr>
        <w:t xml:space="preserve">Enfin, </w:t>
      </w:r>
      <w:r w:rsidR="00305FFD" w:rsidRPr="00043B40">
        <w:rPr>
          <w:rFonts w:cs="Times New Roman"/>
          <w:lang w:val="fr-FR"/>
        </w:rPr>
        <w:t>e</w:t>
      </w:r>
      <w:r w:rsidR="00DF1A07" w:rsidRPr="00043B40">
        <w:rPr>
          <w:rFonts w:cs="Times New Roman"/>
          <w:lang w:val="fr-FR"/>
        </w:rPr>
        <w:t xml:space="preserve">lle </w:t>
      </w:r>
      <w:r w:rsidR="007154B4" w:rsidRPr="00043B40">
        <w:rPr>
          <w:rFonts w:cs="Times New Roman"/>
          <w:lang w:val="fr-FR"/>
        </w:rPr>
        <w:t>affirme</w:t>
      </w:r>
      <w:r w:rsidR="00DF1A07" w:rsidRPr="00043B40">
        <w:rPr>
          <w:rFonts w:cs="Times New Roman"/>
          <w:lang w:val="fr-FR"/>
        </w:rPr>
        <w:t xml:space="preserve"> </w:t>
      </w:r>
      <w:r w:rsidR="00134D9C" w:rsidRPr="00043B40">
        <w:rPr>
          <w:rFonts w:cs="Times New Roman"/>
          <w:lang w:val="fr-FR"/>
        </w:rPr>
        <w:t>que la maladie trouve sa cause directe et déterminante dans l’exercice de sa profession.</w:t>
      </w:r>
    </w:p>
    <w:p w14:paraId="503E468B" w14:textId="77777777" w:rsidR="007154B4" w:rsidRDefault="007154B4" w:rsidP="00837E56">
      <w:pPr>
        <w:tabs>
          <w:tab w:val="left" w:pos="-1440"/>
        </w:tabs>
        <w:snapToGrid w:val="0"/>
        <w:jc w:val="both"/>
        <w:rPr>
          <w:rFonts w:cs="Times New Roman"/>
          <w:lang w:val="fr-FR"/>
        </w:rPr>
      </w:pPr>
    </w:p>
    <w:p w14:paraId="0025216F" w14:textId="77777777" w:rsidR="000A387B" w:rsidRDefault="000A387B" w:rsidP="000A387B">
      <w:pPr>
        <w:tabs>
          <w:tab w:val="left" w:pos="-1440"/>
        </w:tabs>
        <w:snapToGrid w:val="0"/>
        <w:jc w:val="both"/>
        <w:rPr>
          <w:rFonts w:cs="Times New Roman"/>
          <w:lang w:val="fr-FR"/>
        </w:rPr>
      </w:pPr>
      <w:r w:rsidRPr="00305FFD">
        <w:rPr>
          <w:rFonts w:cs="Times New Roman"/>
          <w:lang w:val="fr-FR"/>
        </w:rPr>
        <w:t xml:space="preserve">La partie demanderesse sollicite, dès lors, avant dire droit  la réalisation d’une expertise,  </w:t>
      </w:r>
      <w:r w:rsidRPr="00305FFD">
        <w:rPr>
          <w:rFonts w:cs="Times New Roman"/>
          <w:u w:val="single"/>
          <w:lang w:val="fr-FR"/>
        </w:rPr>
        <w:t>dans le système ouvert,</w:t>
      </w:r>
      <w:r w:rsidRPr="00305FFD">
        <w:rPr>
          <w:rFonts w:cs="Times New Roman"/>
          <w:lang w:val="fr-FR"/>
        </w:rPr>
        <w:t xml:space="preserve"> avec la mission habituelle.</w:t>
      </w:r>
    </w:p>
    <w:p w14:paraId="2B80581F" w14:textId="77777777" w:rsidR="007154B4" w:rsidRDefault="007154B4" w:rsidP="000A387B">
      <w:pPr>
        <w:tabs>
          <w:tab w:val="left" w:pos="-1440"/>
        </w:tabs>
        <w:snapToGrid w:val="0"/>
        <w:jc w:val="both"/>
        <w:rPr>
          <w:rFonts w:cs="Times New Roman"/>
          <w:lang w:val="fr-FR"/>
        </w:rPr>
      </w:pPr>
    </w:p>
    <w:p w14:paraId="75C16AF6" w14:textId="77777777" w:rsidR="007154B4" w:rsidRDefault="007154B4" w:rsidP="000A387B">
      <w:pPr>
        <w:tabs>
          <w:tab w:val="left" w:pos="-1440"/>
        </w:tabs>
        <w:snapToGrid w:val="0"/>
        <w:jc w:val="both"/>
        <w:rPr>
          <w:rFonts w:cs="Times New Roman"/>
          <w:lang w:val="fr-FR"/>
        </w:rPr>
      </w:pPr>
      <w:r>
        <w:rPr>
          <w:rFonts w:cs="Times New Roman"/>
          <w:lang w:val="fr-FR"/>
        </w:rPr>
        <w:t>Elle postule que le tribunal ne s’écarte pas du prescrit de l’article 1050 du Code judiciaire.</w:t>
      </w:r>
    </w:p>
    <w:p w14:paraId="18315575" w14:textId="77777777" w:rsidR="007154B4" w:rsidRDefault="007154B4" w:rsidP="000A387B">
      <w:pPr>
        <w:tabs>
          <w:tab w:val="left" w:pos="-1440"/>
        </w:tabs>
        <w:snapToGrid w:val="0"/>
        <w:jc w:val="both"/>
        <w:rPr>
          <w:rFonts w:cs="Times New Roman"/>
          <w:lang w:val="fr-FR"/>
        </w:rPr>
      </w:pPr>
    </w:p>
    <w:p w14:paraId="37A8272C" w14:textId="77777777" w:rsidR="00837E56" w:rsidRPr="00730873" w:rsidRDefault="00837E56" w:rsidP="00837E56">
      <w:pPr>
        <w:tabs>
          <w:tab w:val="left" w:pos="-1440"/>
        </w:tabs>
        <w:snapToGrid w:val="0"/>
        <w:jc w:val="both"/>
        <w:rPr>
          <w:rFonts w:cs="Times New Roman"/>
        </w:rPr>
      </w:pPr>
    </w:p>
    <w:p w14:paraId="48F38944" w14:textId="77777777" w:rsidR="00F57719" w:rsidRDefault="00F57719" w:rsidP="00F57719">
      <w:pPr>
        <w:tabs>
          <w:tab w:val="left" w:pos="-1440"/>
        </w:tabs>
        <w:snapToGrid w:val="0"/>
        <w:jc w:val="both"/>
        <w:rPr>
          <w:rFonts w:cs="Times New Roman"/>
        </w:rPr>
      </w:pPr>
      <w:r w:rsidRPr="008F76F3">
        <w:rPr>
          <w:rFonts w:cs="Times New Roman"/>
          <w:u w:val="single"/>
        </w:rPr>
        <w:t>La partie défenderesse</w:t>
      </w:r>
      <w:r w:rsidRPr="008F76F3">
        <w:rPr>
          <w:rFonts w:cs="Times New Roman"/>
        </w:rPr>
        <w:t xml:space="preserve">  postule</w:t>
      </w:r>
      <w:r>
        <w:rPr>
          <w:rFonts w:cs="Times New Roman"/>
        </w:rPr>
        <w:t xml:space="preserve">, </w:t>
      </w:r>
      <w:r w:rsidRPr="008F6BDB">
        <w:rPr>
          <w:rFonts w:cs="Times New Roman"/>
          <w:b/>
        </w:rPr>
        <w:t>à titre principal</w:t>
      </w:r>
      <w:r>
        <w:rPr>
          <w:rFonts w:cs="Times New Roman"/>
        </w:rPr>
        <w:t>,</w:t>
      </w:r>
      <w:r w:rsidRPr="008F76F3">
        <w:rPr>
          <w:rFonts w:cs="Times New Roman"/>
        </w:rPr>
        <w:t xml:space="preserve"> qu</w:t>
      </w:r>
      <w:r>
        <w:rPr>
          <w:rFonts w:cs="Times New Roman"/>
        </w:rPr>
        <w:t xml:space="preserve">’il soit statué ce que ce droit quant à la recevabilité de la demande et quant au fond que </w:t>
      </w:r>
      <w:r w:rsidRPr="008F76F3">
        <w:rPr>
          <w:rFonts w:cs="Times New Roman"/>
        </w:rPr>
        <w:t>la demande soit déclarée non fondée.</w:t>
      </w:r>
      <w:r>
        <w:rPr>
          <w:rFonts w:cs="Times New Roman"/>
        </w:rPr>
        <w:t xml:space="preserve"> </w:t>
      </w:r>
    </w:p>
    <w:p w14:paraId="41E5DE14" w14:textId="77777777" w:rsidR="00F57719" w:rsidRDefault="00F57719" w:rsidP="00F57719">
      <w:pPr>
        <w:tabs>
          <w:tab w:val="left" w:pos="-1440"/>
        </w:tabs>
        <w:snapToGrid w:val="0"/>
        <w:jc w:val="both"/>
        <w:rPr>
          <w:rFonts w:cs="Times New Roman"/>
        </w:rPr>
      </w:pPr>
    </w:p>
    <w:p w14:paraId="2A858015" w14:textId="77777777" w:rsidR="00F57719" w:rsidRDefault="00F57719" w:rsidP="00F57719">
      <w:pPr>
        <w:tabs>
          <w:tab w:val="left" w:pos="-1440"/>
        </w:tabs>
        <w:snapToGrid w:val="0"/>
        <w:jc w:val="both"/>
        <w:rPr>
          <w:rFonts w:cs="Times New Roman"/>
        </w:rPr>
      </w:pPr>
      <w:r>
        <w:rPr>
          <w:rFonts w:cs="Times New Roman"/>
        </w:rPr>
        <w:t xml:space="preserve">Elle considère qu’il n’existe pas de commencement de preuve suffisant de </w:t>
      </w:r>
      <w:r w:rsidRPr="00FD2DC5">
        <w:rPr>
          <w:rFonts w:cs="Times New Roman"/>
          <w:b/>
        </w:rPr>
        <w:t>l’existence d’une</w:t>
      </w:r>
      <w:r w:rsidR="007154B4" w:rsidRPr="00FD2DC5">
        <w:rPr>
          <w:rFonts w:cs="Times New Roman"/>
          <w:b/>
        </w:rPr>
        <w:t xml:space="preserve"> maladie professionnelle</w:t>
      </w:r>
      <w:r>
        <w:rPr>
          <w:rFonts w:cs="Times New Roman"/>
        </w:rPr>
        <w:t xml:space="preserve"> dans le chef de la partie demanderesse à défaut d’éléments probants pour justifier la désignation d’un expert judiciaire.</w:t>
      </w:r>
    </w:p>
    <w:p w14:paraId="5E8F5ECC" w14:textId="77777777" w:rsidR="00F57719" w:rsidRDefault="00F57719" w:rsidP="00F57719">
      <w:pPr>
        <w:tabs>
          <w:tab w:val="left" w:pos="-1440"/>
        </w:tabs>
        <w:snapToGrid w:val="0"/>
        <w:jc w:val="both"/>
        <w:rPr>
          <w:rFonts w:cs="Times New Roman"/>
        </w:rPr>
      </w:pPr>
    </w:p>
    <w:p w14:paraId="3D34A8A7" w14:textId="77777777" w:rsidR="007154B4" w:rsidRDefault="00F57719" w:rsidP="00F57719">
      <w:pPr>
        <w:tabs>
          <w:tab w:val="left" w:pos="-1440"/>
        </w:tabs>
        <w:snapToGrid w:val="0"/>
        <w:jc w:val="both"/>
        <w:rPr>
          <w:rFonts w:cs="Times New Roman"/>
        </w:rPr>
      </w:pPr>
      <w:r>
        <w:rPr>
          <w:rFonts w:cs="Times New Roman"/>
        </w:rPr>
        <w:t xml:space="preserve">Ainsi, </w:t>
      </w:r>
      <w:r w:rsidR="001D37FE">
        <w:rPr>
          <w:rFonts w:cs="Times New Roman"/>
        </w:rPr>
        <w:t>au niveau d</w:t>
      </w:r>
      <w:r w:rsidR="00043B40">
        <w:rPr>
          <w:rFonts w:cs="Times New Roman"/>
        </w:rPr>
        <w:t xml:space="preserve">e </w:t>
      </w:r>
      <w:r w:rsidR="00043B40" w:rsidRPr="00043B40">
        <w:rPr>
          <w:rFonts w:cs="Times New Roman"/>
          <w:b/>
        </w:rPr>
        <w:t>l’atteinte</w:t>
      </w:r>
      <w:r w:rsidR="00043B40">
        <w:rPr>
          <w:rFonts w:cs="Times New Roman"/>
        </w:rPr>
        <w:t>, elle précise qu’en l’absence d’exposition au risque professionnel, ce point n’a pas été investigué.</w:t>
      </w:r>
    </w:p>
    <w:p w14:paraId="2836E1C4" w14:textId="77777777" w:rsidR="00043B40" w:rsidRDefault="00043B40" w:rsidP="00F57719">
      <w:pPr>
        <w:tabs>
          <w:tab w:val="left" w:pos="-1440"/>
        </w:tabs>
        <w:snapToGrid w:val="0"/>
        <w:jc w:val="both"/>
        <w:rPr>
          <w:rFonts w:cs="Times New Roman"/>
        </w:rPr>
      </w:pPr>
      <w:r>
        <w:rPr>
          <w:rFonts w:cs="Times New Roman"/>
        </w:rPr>
        <w:t>Aussi, elle émet toute réserve quant aux lésions invoquées et quant à leur caractère professionnel.</w:t>
      </w:r>
    </w:p>
    <w:p w14:paraId="5C7FE089" w14:textId="77777777" w:rsidR="00F84A66" w:rsidRDefault="00F84A66" w:rsidP="00F57719">
      <w:pPr>
        <w:tabs>
          <w:tab w:val="left" w:pos="-1440"/>
        </w:tabs>
        <w:snapToGrid w:val="0"/>
        <w:jc w:val="both"/>
        <w:rPr>
          <w:rFonts w:cs="Times New Roman"/>
        </w:rPr>
      </w:pPr>
    </w:p>
    <w:p w14:paraId="30D5DAC9" w14:textId="77777777" w:rsidR="00F57719" w:rsidRDefault="00F57719" w:rsidP="00F57719">
      <w:pPr>
        <w:tabs>
          <w:tab w:val="left" w:pos="-1440"/>
        </w:tabs>
        <w:snapToGrid w:val="0"/>
        <w:jc w:val="both"/>
        <w:rPr>
          <w:rFonts w:cs="Times New Roman"/>
        </w:rPr>
      </w:pPr>
      <w:r>
        <w:rPr>
          <w:rFonts w:cs="Times New Roman"/>
        </w:rPr>
        <w:t xml:space="preserve">Quant à </w:t>
      </w:r>
      <w:r w:rsidRPr="00FD2DC5">
        <w:rPr>
          <w:rFonts w:cs="Times New Roman"/>
          <w:b/>
        </w:rPr>
        <w:t>l’exposition au risque professionnel</w:t>
      </w:r>
      <w:r>
        <w:rPr>
          <w:rFonts w:cs="Times New Roman"/>
        </w:rPr>
        <w:t>, elle entend rappeler les conditions d’exposition imposée</w:t>
      </w:r>
      <w:r w:rsidR="00803428">
        <w:rPr>
          <w:rFonts w:cs="Times New Roman"/>
        </w:rPr>
        <w:t>s</w:t>
      </w:r>
      <w:r>
        <w:rPr>
          <w:rFonts w:cs="Times New Roman"/>
        </w:rPr>
        <w:t xml:space="preserve"> par l’article 32 des lois coordonnées du 3 juin 1970.</w:t>
      </w:r>
    </w:p>
    <w:p w14:paraId="173723E5" w14:textId="77777777" w:rsidR="00570AC1" w:rsidRDefault="00570AC1" w:rsidP="00F57719">
      <w:pPr>
        <w:tabs>
          <w:tab w:val="left" w:pos="-1440"/>
        </w:tabs>
        <w:snapToGrid w:val="0"/>
        <w:jc w:val="both"/>
        <w:rPr>
          <w:rFonts w:cs="Times New Roman"/>
        </w:rPr>
      </w:pPr>
    </w:p>
    <w:p w14:paraId="3968B79F" w14:textId="77777777" w:rsidR="00EB0871" w:rsidRDefault="00043B40" w:rsidP="00F57719">
      <w:pPr>
        <w:tabs>
          <w:tab w:val="left" w:pos="-1440"/>
        </w:tabs>
        <w:snapToGrid w:val="0"/>
        <w:jc w:val="both"/>
        <w:rPr>
          <w:rFonts w:cs="Times New Roman"/>
        </w:rPr>
      </w:pPr>
      <w:r>
        <w:rPr>
          <w:rFonts w:cs="Times New Roman"/>
        </w:rPr>
        <w:t>Elle rappelle que la demande formulée porte sur une rhizarthrose et arthrose radio-carpienne des pouces.</w:t>
      </w:r>
    </w:p>
    <w:p w14:paraId="015927C8" w14:textId="77777777" w:rsidR="00043B40" w:rsidRDefault="00043B40" w:rsidP="00F57719">
      <w:pPr>
        <w:tabs>
          <w:tab w:val="left" w:pos="-1440"/>
        </w:tabs>
        <w:snapToGrid w:val="0"/>
        <w:jc w:val="both"/>
        <w:rPr>
          <w:rFonts w:cs="Times New Roman"/>
        </w:rPr>
      </w:pPr>
      <w:r>
        <w:rPr>
          <w:rFonts w:cs="Times New Roman"/>
        </w:rPr>
        <w:t>Elle affirme que les données médico-scientifiques ou épidémiologiques sont insuffisantes pour permettre d’affirmer que la rhizarthrose est provoquée de façon significative par certaines maladies professionnelles.</w:t>
      </w:r>
    </w:p>
    <w:p w14:paraId="5457CF0A" w14:textId="77777777" w:rsidR="00F84A66" w:rsidRDefault="00F84A66" w:rsidP="00F57719">
      <w:pPr>
        <w:tabs>
          <w:tab w:val="left" w:pos="-1440"/>
        </w:tabs>
        <w:snapToGrid w:val="0"/>
        <w:jc w:val="both"/>
        <w:rPr>
          <w:rFonts w:cs="Times New Roman"/>
        </w:rPr>
      </w:pPr>
    </w:p>
    <w:p w14:paraId="47AE92FE" w14:textId="77777777" w:rsidR="00E660E3" w:rsidRDefault="00E660E3" w:rsidP="00F57719">
      <w:pPr>
        <w:tabs>
          <w:tab w:val="left" w:pos="-1440"/>
        </w:tabs>
        <w:snapToGrid w:val="0"/>
        <w:jc w:val="both"/>
        <w:rPr>
          <w:rFonts w:cs="Times New Roman"/>
        </w:rPr>
      </w:pPr>
      <w:r>
        <w:rPr>
          <w:rFonts w:cs="Times New Roman"/>
        </w:rPr>
        <w:t xml:space="preserve">Quant au </w:t>
      </w:r>
      <w:r w:rsidRPr="00F84A66">
        <w:rPr>
          <w:rFonts w:cs="Times New Roman"/>
          <w:b/>
        </w:rPr>
        <w:t>lien causal direct et déterminant</w:t>
      </w:r>
      <w:r>
        <w:rPr>
          <w:rFonts w:cs="Times New Roman"/>
        </w:rPr>
        <w:t xml:space="preserve">, </w:t>
      </w:r>
      <w:r w:rsidR="00683099">
        <w:rPr>
          <w:rFonts w:cs="Times New Roman"/>
        </w:rPr>
        <w:t>elle souligne que ce dernier doit être certain.</w:t>
      </w:r>
    </w:p>
    <w:p w14:paraId="0F49EFD8" w14:textId="77777777" w:rsidR="00683099" w:rsidRDefault="00683099" w:rsidP="00F57719">
      <w:pPr>
        <w:tabs>
          <w:tab w:val="left" w:pos="-1440"/>
        </w:tabs>
        <w:snapToGrid w:val="0"/>
        <w:jc w:val="both"/>
        <w:rPr>
          <w:rFonts w:cs="Times New Roman"/>
        </w:rPr>
      </w:pPr>
    </w:p>
    <w:p w14:paraId="2282F595" w14:textId="77777777" w:rsidR="00B56322" w:rsidRDefault="00B56322" w:rsidP="000E3A5F">
      <w:pPr>
        <w:tabs>
          <w:tab w:val="left" w:pos="-1440"/>
        </w:tabs>
        <w:snapToGrid w:val="0"/>
        <w:jc w:val="both"/>
        <w:rPr>
          <w:rFonts w:cs="Times New Roman"/>
        </w:rPr>
      </w:pPr>
      <w:r>
        <w:rPr>
          <w:rFonts w:cs="Times New Roman"/>
        </w:rPr>
        <w:t>E</w:t>
      </w:r>
      <w:r w:rsidR="00683099">
        <w:rPr>
          <w:rFonts w:cs="Times New Roman"/>
        </w:rPr>
        <w:t xml:space="preserve">lle relève que </w:t>
      </w:r>
      <w:r w:rsidR="000E3A5F">
        <w:rPr>
          <w:rFonts w:cs="Times New Roman"/>
        </w:rPr>
        <w:t>la littérature scientifique montre une association claire entre le sexe féminin, l’âge et la rhizarthrose</w:t>
      </w:r>
    </w:p>
    <w:p w14:paraId="15140CE1" w14:textId="77777777" w:rsidR="00B56322" w:rsidRDefault="00B56322" w:rsidP="00F57719">
      <w:pPr>
        <w:tabs>
          <w:tab w:val="left" w:pos="-1440"/>
        </w:tabs>
        <w:snapToGrid w:val="0"/>
        <w:jc w:val="both"/>
        <w:rPr>
          <w:rFonts w:cs="Times New Roman"/>
        </w:rPr>
      </w:pPr>
    </w:p>
    <w:p w14:paraId="3D3ECC9C" w14:textId="77777777" w:rsidR="00B56322" w:rsidRDefault="00B56322" w:rsidP="00F57719">
      <w:pPr>
        <w:tabs>
          <w:tab w:val="left" w:pos="-1440"/>
        </w:tabs>
        <w:snapToGrid w:val="0"/>
        <w:jc w:val="both"/>
        <w:rPr>
          <w:rFonts w:cs="Times New Roman"/>
        </w:rPr>
      </w:pPr>
      <w:r>
        <w:rPr>
          <w:rFonts w:cs="Times New Roman"/>
        </w:rPr>
        <w:t xml:space="preserve">Elle s’oppose, dès lors, à la désignation d’un expert judiciaire. </w:t>
      </w:r>
    </w:p>
    <w:p w14:paraId="2D3C5158" w14:textId="77777777" w:rsidR="0023162A" w:rsidRDefault="0023162A" w:rsidP="00F57719">
      <w:pPr>
        <w:tabs>
          <w:tab w:val="left" w:pos="-1440"/>
        </w:tabs>
        <w:snapToGrid w:val="0"/>
        <w:jc w:val="both"/>
        <w:rPr>
          <w:rFonts w:cs="Times New Roman"/>
          <w:b/>
        </w:rPr>
      </w:pPr>
    </w:p>
    <w:p w14:paraId="7E095A2F" w14:textId="77777777" w:rsidR="001A42C6" w:rsidRDefault="00F57719" w:rsidP="00F57719">
      <w:pPr>
        <w:tabs>
          <w:tab w:val="left" w:pos="-1440"/>
        </w:tabs>
        <w:snapToGrid w:val="0"/>
        <w:jc w:val="both"/>
        <w:rPr>
          <w:rFonts w:cs="Times New Roman"/>
        </w:rPr>
      </w:pPr>
      <w:r w:rsidRPr="008F6BDB">
        <w:rPr>
          <w:rFonts w:cs="Times New Roman"/>
          <w:b/>
        </w:rPr>
        <w:t>A titre subsidiaire</w:t>
      </w:r>
      <w:r>
        <w:rPr>
          <w:rFonts w:cs="Times New Roman"/>
        </w:rPr>
        <w:t>, si une expertise devait être diligentée, elle</w:t>
      </w:r>
      <w:r w:rsidR="001A42C6">
        <w:rPr>
          <w:rFonts w:cs="Times New Roman"/>
        </w:rPr>
        <w:t xml:space="preserve"> précise le libellé de la mission en ce qui concerne l’exposition au risque professionnel.</w:t>
      </w:r>
    </w:p>
    <w:p w14:paraId="47D5A646" w14:textId="77777777" w:rsidR="001A42C6" w:rsidRDefault="001A42C6" w:rsidP="00F57719">
      <w:pPr>
        <w:tabs>
          <w:tab w:val="left" w:pos="-1440"/>
        </w:tabs>
        <w:snapToGrid w:val="0"/>
        <w:jc w:val="both"/>
        <w:rPr>
          <w:rFonts w:cs="Times New Roman"/>
        </w:rPr>
      </w:pPr>
    </w:p>
    <w:p w14:paraId="6A58A62A" w14:textId="77777777" w:rsidR="00F57719" w:rsidRDefault="001A42C6" w:rsidP="00F57719">
      <w:pPr>
        <w:tabs>
          <w:tab w:val="left" w:pos="-1440"/>
        </w:tabs>
        <w:snapToGrid w:val="0"/>
        <w:jc w:val="both"/>
        <w:rPr>
          <w:rFonts w:cs="Times New Roman"/>
        </w:rPr>
      </w:pPr>
      <w:r>
        <w:rPr>
          <w:rFonts w:cs="Times New Roman"/>
        </w:rPr>
        <w:t xml:space="preserve">Par ailleurs, elle </w:t>
      </w:r>
      <w:r w:rsidR="00F57719">
        <w:rPr>
          <w:rFonts w:cs="Times New Roman"/>
        </w:rPr>
        <w:t>sollicite l’écartement de l’article 1050 alinéa 2 du Code judiciaire et postule qu’il n’y ait pas lieu à exécution provisoire</w:t>
      </w:r>
    </w:p>
    <w:p w14:paraId="65EB982F" w14:textId="77777777" w:rsidR="00F57719" w:rsidRDefault="00F57719" w:rsidP="00F57719">
      <w:pPr>
        <w:tabs>
          <w:tab w:val="left" w:pos="-1440"/>
        </w:tabs>
        <w:snapToGrid w:val="0"/>
        <w:jc w:val="both"/>
        <w:rPr>
          <w:rFonts w:cs="Times New Roman"/>
        </w:rPr>
      </w:pPr>
    </w:p>
    <w:p w14:paraId="1A3A37BD" w14:textId="77777777" w:rsidR="00F57719" w:rsidRDefault="00F57719" w:rsidP="00F57719">
      <w:pPr>
        <w:tabs>
          <w:tab w:val="left" w:pos="-1440"/>
        </w:tabs>
        <w:snapToGrid w:val="0"/>
        <w:jc w:val="both"/>
        <w:rPr>
          <w:rFonts w:cs="Times New Roman"/>
        </w:rPr>
      </w:pPr>
      <w:r>
        <w:rPr>
          <w:rFonts w:cs="Times New Roman"/>
        </w:rPr>
        <w:t xml:space="preserve">Elle demande </w:t>
      </w:r>
      <w:r w:rsidR="00F84A66">
        <w:rPr>
          <w:rFonts w:cs="Times New Roman"/>
        </w:rPr>
        <w:t xml:space="preserve">à </w:t>
      </w:r>
      <w:r>
        <w:rPr>
          <w:rFonts w:cs="Times New Roman"/>
        </w:rPr>
        <w:t>être autorisée à payer directement l’état de frais et honoraires aux sapiteurs désignés.</w:t>
      </w:r>
    </w:p>
    <w:p w14:paraId="46792062" w14:textId="77777777" w:rsidR="00F57719" w:rsidRDefault="00F57719" w:rsidP="00F910E8">
      <w:pPr>
        <w:tabs>
          <w:tab w:val="left" w:pos="-1440"/>
        </w:tabs>
        <w:snapToGrid w:val="0"/>
        <w:jc w:val="right"/>
        <w:rPr>
          <w:rFonts w:cs="Times New Roman"/>
        </w:rPr>
      </w:pPr>
    </w:p>
    <w:p w14:paraId="2FDC1776" w14:textId="77777777" w:rsidR="00F57719" w:rsidRDefault="00F57719" w:rsidP="00F57719">
      <w:pPr>
        <w:tabs>
          <w:tab w:val="left" w:pos="-1440"/>
        </w:tabs>
        <w:snapToGrid w:val="0"/>
        <w:jc w:val="both"/>
        <w:rPr>
          <w:rFonts w:cs="Times New Roman"/>
        </w:rPr>
      </w:pPr>
      <w:r>
        <w:rPr>
          <w:rFonts w:cs="Times New Roman"/>
        </w:rPr>
        <w:t>Enfin, elle demande qu’il soit réservé à statu</w:t>
      </w:r>
      <w:r w:rsidR="000B5701">
        <w:rPr>
          <w:rFonts w:cs="Times New Roman"/>
        </w:rPr>
        <w:t>er</w:t>
      </w:r>
      <w:r>
        <w:rPr>
          <w:rFonts w:cs="Times New Roman"/>
        </w:rPr>
        <w:t xml:space="preserve"> pour le surplus en ce compris les dépens.</w:t>
      </w:r>
    </w:p>
    <w:p w14:paraId="297CC4C3" w14:textId="77777777" w:rsidR="00F57719" w:rsidRDefault="00F57719" w:rsidP="00837E56">
      <w:pPr>
        <w:tabs>
          <w:tab w:val="left" w:pos="-1440"/>
        </w:tabs>
        <w:snapToGrid w:val="0"/>
        <w:jc w:val="both"/>
        <w:rPr>
          <w:rFonts w:cs="Times New Roman"/>
          <w:highlight w:val="magenta"/>
          <w:lang w:val="fr-FR"/>
        </w:rPr>
      </w:pPr>
    </w:p>
    <w:p w14:paraId="32953DD7" w14:textId="77777777" w:rsidR="00EB0871" w:rsidRDefault="00EB0871" w:rsidP="00302E61">
      <w:pPr>
        <w:tabs>
          <w:tab w:val="left" w:pos="-1440"/>
        </w:tabs>
        <w:snapToGrid w:val="0"/>
        <w:jc w:val="both"/>
        <w:rPr>
          <w:rFonts w:cs="Times New Roman"/>
          <w:lang w:val="fr-FR"/>
        </w:rPr>
      </w:pPr>
    </w:p>
    <w:p w14:paraId="22722225" w14:textId="77777777" w:rsidR="000E3A5F" w:rsidRPr="00F84B58" w:rsidRDefault="000E3A5F" w:rsidP="000E3A5F">
      <w:pPr>
        <w:pStyle w:val="Paragraphedeliste"/>
        <w:numPr>
          <w:ilvl w:val="0"/>
          <w:numId w:val="14"/>
        </w:numPr>
        <w:tabs>
          <w:tab w:val="left" w:pos="-1440"/>
        </w:tabs>
        <w:snapToGrid w:val="0"/>
        <w:jc w:val="both"/>
        <w:rPr>
          <w:rFonts w:cs="Times New Roman"/>
          <w:b/>
          <w:bCs/>
          <w:u w:val="single"/>
          <w:lang w:val="fr-FR"/>
        </w:rPr>
      </w:pPr>
      <w:r w:rsidRPr="00F84B58">
        <w:rPr>
          <w:rFonts w:cs="Times New Roman"/>
          <w:b/>
          <w:bCs/>
          <w:u w:val="single"/>
          <w:lang w:val="fr-FR"/>
        </w:rPr>
        <w:t>Maladie reprise sous le code 1.606.22.</w:t>
      </w:r>
    </w:p>
    <w:p w14:paraId="0F94B265" w14:textId="77777777" w:rsidR="000E3A5F" w:rsidRPr="00F84B58" w:rsidRDefault="000E3A5F" w:rsidP="000E3A5F">
      <w:pPr>
        <w:tabs>
          <w:tab w:val="left" w:pos="-1440"/>
        </w:tabs>
        <w:snapToGrid w:val="0"/>
        <w:jc w:val="both"/>
        <w:rPr>
          <w:rFonts w:cs="Times New Roman"/>
          <w:b/>
          <w:bCs/>
          <w:u w:val="single"/>
          <w:lang w:val="fr-FR"/>
        </w:rPr>
      </w:pPr>
    </w:p>
    <w:p w14:paraId="568C9512" w14:textId="77777777" w:rsidR="00D95F1F" w:rsidRPr="007070C3" w:rsidRDefault="00D95F1F" w:rsidP="00D95F1F">
      <w:pPr>
        <w:tabs>
          <w:tab w:val="left" w:pos="-1440"/>
        </w:tabs>
        <w:snapToGrid w:val="0"/>
        <w:jc w:val="both"/>
        <w:rPr>
          <w:rFonts w:cs="Times New Roman"/>
        </w:rPr>
      </w:pPr>
      <w:r w:rsidRPr="007070C3">
        <w:rPr>
          <w:rFonts w:cs="Times New Roman"/>
          <w:u w:val="single"/>
        </w:rPr>
        <w:t>La partie demanderesse</w:t>
      </w:r>
      <w:r w:rsidRPr="007070C3">
        <w:rPr>
          <w:rFonts w:cs="Times New Roman"/>
        </w:rPr>
        <w:t xml:space="preserve"> a introduit auprès d</w:t>
      </w:r>
      <w:r>
        <w:rPr>
          <w:rFonts w:cs="Times New Roman"/>
        </w:rPr>
        <w:t>e FEDRIS</w:t>
      </w:r>
      <w:r w:rsidRPr="007070C3">
        <w:rPr>
          <w:rFonts w:cs="Times New Roman"/>
        </w:rPr>
        <w:t>,  une demande en vue d’obtenir une indemnisation pour une affection figurant sous le code 1.606.</w:t>
      </w:r>
      <w:r>
        <w:rPr>
          <w:rFonts w:cs="Times New Roman"/>
        </w:rPr>
        <w:t>22</w:t>
      </w:r>
      <w:r w:rsidRPr="007070C3">
        <w:rPr>
          <w:rFonts w:cs="Times New Roman"/>
        </w:rPr>
        <w:t xml:space="preserve"> sur la liste belge des maladies professionnelles donnant lieu à réparation.</w:t>
      </w:r>
    </w:p>
    <w:p w14:paraId="6A3FBF35" w14:textId="77777777" w:rsidR="00D95F1F" w:rsidRPr="007070C3" w:rsidRDefault="00D95F1F" w:rsidP="00D95F1F">
      <w:pPr>
        <w:tabs>
          <w:tab w:val="left" w:pos="-1440"/>
        </w:tabs>
        <w:snapToGrid w:val="0"/>
        <w:jc w:val="both"/>
        <w:rPr>
          <w:rFonts w:cs="Times New Roman"/>
        </w:rPr>
      </w:pPr>
    </w:p>
    <w:p w14:paraId="2A975522" w14:textId="77777777" w:rsidR="00D95F1F" w:rsidRPr="007070C3" w:rsidRDefault="00D95F1F" w:rsidP="00D95F1F">
      <w:pPr>
        <w:tabs>
          <w:tab w:val="left" w:pos="-1440"/>
        </w:tabs>
        <w:snapToGrid w:val="0"/>
        <w:jc w:val="both"/>
        <w:rPr>
          <w:rFonts w:cs="Times New Roman"/>
        </w:rPr>
      </w:pPr>
      <w:r w:rsidRPr="007070C3">
        <w:rPr>
          <w:rFonts w:cs="Times New Roman"/>
        </w:rPr>
        <w:t xml:space="preserve">La décision querellée datée du </w:t>
      </w:r>
      <w:r w:rsidRPr="00D95F1F">
        <w:rPr>
          <w:rFonts w:cs="Times New Roman"/>
          <w:b/>
        </w:rPr>
        <w:t>14 juillet 2020</w:t>
      </w:r>
      <w:r w:rsidRPr="007070C3">
        <w:rPr>
          <w:rFonts w:cs="Times New Roman"/>
        </w:rPr>
        <w:t xml:space="preserve"> fait suite à cette demande formulée en date du </w:t>
      </w:r>
      <w:r w:rsidRPr="00D95F1F">
        <w:rPr>
          <w:rFonts w:cs="Times New Roman"/>
          <w:b/>
        </w:rPr>
        <w:t>11 février 2020</w:t>
      </w:r>
      <w:r w:rsidRPr="007070C3">
        <w:rPr>
          <w:rFonts w:cs="Times New Roman"/>
        </w:rPr>
        <w:t>.</w:t>
      </w:r>
    </w:p>
    <w:p w14:paraId="0AA9BD04" w14:textId="77777777" w:rsidR="00D95F1F" w:rsidRPr="007070C3" w:rsidRDefault="00D95F1F" w:rsidP="00D95F1F">
      <w:pPr>
        <w:tabs>
          <w:tab w:val="left" w:pos="-1440"/>
        </w:tabs>
        <w:snapToGrid w:val="0"/>
        <w:jc w:val="both"/>
        <w:rPr>
          <w:rFonts w:cs="Times New Roman"/>
        </w:rPr>
      </w:pPr>
    </w:p>
    <w:p w14:paraId="2CC4F6C1" w14:textId="77777777" w:rsidR="00D95F1F" w:rsidRPr="007070C3" w:rsidRDefault="00D95F1F" w:rsidP="00D95F1F">
      <w:pPr>
        <w:tabs>
          <w:tab w:val="left" w:pos="-1440"/>
        </w:tabs>
        <w:snapToGrid w:val="0"/>
        <w:jc w:val="both"/>
        <w:rPr>
          <w:rFonts w:cs="Times New Roman"/>
        </w:rPr>
      </w:pPr>
      <w:r w:rsidRPr="007070C3">
        <w:rPr>
          <w:rFonts w:cs="Times New Roman"/>
        </w:rPr>
        <w:t xml:space="preserve">En effet, </w:t>
      </w:r>
      <w:r>
        <w:rPr>
          <w:rFonts w:cs="Times New Roman"/>
        </w:rPr>
        <w:t>FEDRIS</w:t>
      </w:r>
      <w:r w:rsidRPr="007070C3">
        <w:rPr>
          <w:rFonts w:cs="Times New Roman"/>
        </w:rPr>
        <w:t xml:space="preserve"> a estimé que la demande formulée n’est pas fondée à défaut d’</w:t>
      </w:r>
      <w:r>
        <w:rPr>
          <w:rFonts w:cs="Times New Roman"/>
        </w:rPr>
        <w:t>exposition</w:t>
      </w:r>
      <w:r w:rsidRPr="007070C3">
        <w:rPr>
          <w:rFonts w:cs="Times New Roman"/>
        </w:rPr>
        <w:t>.</w:t>
      </w:r>
    </w:p>
    <w:p w14:paraId="1B3B1BB6" w14:textId="77777777" w:rsidR="00D95F1F" w:rsidRPr="007070C3" w:rsidRDefault="00D95F1F" w:rsidP="00D95F1F">
      <w:pPr>
        <w:tabs>
          <w:tab w:val="left" w:pos="-1440"/>
        </w:tabs>
        <w:snapToGrid w:val="0"/>
        <w:jc w:val="both"/>
        <w:rPr>
          <w:rFonts w:cs="Times New Roman"/>
        </w:rPr>
      </w:pPr>
    </w:p>
    <w:p w14:paraId="45A2E78A" w14:textId="77777777" w:rsidR="00D95F1F" w:rsidRDefault="00D95F1F" w:rsidP="00D95F1F">
      <w:pPr>
        <w:tabs>
          <w:tab w:val="left" w:pos="-1440"/>
        </w:tabs>
        <w:snapToGrid w:val="0"/>
        <w:jc w:val="both"/>
        <w:rPr>
          <w:rFonts w:cs="Times New Roman"/>
        </w:rPr>
      </w:pPr>
      <w:r w:rsidRPr="007070C3">
        <w:rPr>
          <w:rFonts w:cs="Times New Roman"/>
          <w:u w:val="single"/>
        </w:rPr>
        <w:t xml:space="preserve">La partie demanderesse </w:t>
      </w:r>
      <w:r w:rsidRPr="007070C3">
        <w:rPr>
          <w:rFonts w:cs="Times New Roman"/>
        </w:rPr>
        <w:t xml:space="preserve">conteste cette décision.  </w:t>
      </w:r>
    </w:p>
    <w:p w14:paraId="15996B7B" w14:textId="77777777" w:rsidR="00D95F1F" w:rsidRDefault="00D95F1F" w:rsidP="00D95F1F">
      <w:pPr>
        <w:tabs>
          <w:tab w:val="left" w:pos="-1440"/>
        </w:tabs>
        <w:snapToGrid w:val="0"/>
        <w:jc w:val="both"/>
        <w:rPr>
          <w:rFonts w:cs="Times New Roman"/>
        </w:rPr>
      </w:pPr>
      <w:r w:rsidRPr="007070C3">
        <w:rPr>
          <w:rFonts w:cs="Times New Roman"/>
        </w:rPr>
        <w:t xml:space="preserve">En effet, elle se fonde, notamment, sur le rapport établi, par </w:t>
      </w:r>
      <w:r>
        <w:rPr>
          <w:rFonts w:cs="Times New Roman"/>
        </w:rPr>
        <w:t>son m</w:t>
      </w:r>
      <w:r w:rsidRPr="007070C3">
        <w:rPr>
          <w:rFonts w:cs="Times New Roman"/>
        </w:rPr>
        <w:t>édecin conseil</w:t>
      </w:r>
      <w:r>
        <w:rPr>
          <w:rFonts w:cs="Times New Roman"/>
        </w:rPr>
        <w:t>. Ce dernier</w:t>
      </w:r>
      <w:r w:rsidRPr="007070C3">
        <w:rPr>
          <w:rFonts w:cs="Times New Roman"/>
        </w:rPr>
        <w:t xml:space="preserve"> estime que la partie demanderesse est bien atteinte d</w:t>
      </w:r>
      <w:r>
        <w:rPr>
          <w:rFonts w:cs="Times New Roman"/>
        </w:rPr>
        <w:t>’un</w:t>
      </w:r>
      <w:r w:rsidRPr="007070C3">
        <w:rPr>
          <w:rFonts w:cs="Times New Roman"/>
        </w:rPr>
        <w:t>e</w:t>
      </w:r>
      <w:r>
        <w:rPr>
          <w:rFonts w:cs="Times New Roman"/>
        </w:rPr>
        <w:t xml:space="preserve"> tendinopathie de l’épaule gauche.</w:t>
      </w:r>
    </w:p>
    <w:p w14:paraId="39BD1910" w14:textId="77777777" w:rsidR="00D95F1F" w:rsidRDefault="00D95F1F" w:rsidP="00D95F1F">
      <w:pPr>
        <w:tabs>
          <w:tab w:val="left" w:pos="-1440"/>
        </w:tabs>
        <w:snapToGrid w:val="0"/>
        <w:jc w:val="both"/>
        <w:rPr>
          <w:rFonts w:cs="Times New Roman"/>
        </w:rPr>
      </w:pPr>
      <w:r>
        <w:rPr>
          <w:rFonts w:cs="Times New Roman"/>
        </w:rPr>
        <w:t>Elle dépose, à cet effet, les résultats des examens médicaux pratiqués.</w:t>
      </w:r>
    </w:p>
    <w:p w14:paraId="26774A50" w14:textId="77777777" w:rsidR="00D95F1F" w:rsidRDefault="00D95F1F" w:rsidP="00D95F1F">
      <w:pPr>
        <w:tabs>
          <w:tab w:val="left" w:pos="-1440"/>
        </w:tabs>
        <w:snapToGrid w:val="0"/>
        <w:jc w:val="both"/>
        <w:rPr>
          <w:rFonts w:cs="Times New Roman"/>
        </w:rPr>
      </w:pPr>
      <w:r>
        <w:rPr>
          <w:rFonts w:cs="Times New Roman"/>
        </w:rPr>
        <w:t>Par ailleurs, elle sollicite également la reconnaissance d’une épicondylite du côté droit et du côté gauche.</w:t>
      </w:r>
    </w:p>
    <w:p w14:paraId="496AAE30" w14:textId="77777777" w:rsidR="00D95F1F" w:rsidRDefault="00D95F1F" w:rsidP="00D95F1F">
      <w:pPr>
        <w:tabs>
          <w:tab w:val="left" w:pos="-1440"/>
        </w:tabs>
        <w:snapToGrid w:val="0"/>
        <w:jc w:val="both"/>
        <w:rPr>
          <w:rFonts w:cs="Times New Roman"/>
        </w:rPr>
      </w:pPr>
      <w:r>
        <w:rPr>
          <w:rFonts w:cs="Times New Roman"/>
        </w:rPr>
        <w:t>Elle considère que le principe du préalable administratif ne s’applique pas dans la mesure où les pathologies revendiquées rentrent dans la définition du code 1.606.22</w:t>
      </w:r>
      <w:r w:rsidR="002C25FB">
        <w:rPr>
          <w:rFonts w:cs="Times New Roman"/>
        </w:rPr>
        <w:t>.</w:t>
      </w:r>
    </w:p>
    <w:p w14:paraId="1CA93A16" w14:textId="77777777" w:rsidR="002C25FB" w:rsidRDefault="002C25FB" w:rsidP="00D95F1F">
      <w:pPr>
        <w:tabs>
          <w:tab w:val="left" w:pos="-1440"/>
        </w:tabs>
        <w:snapToGrid w:val="0"/>
        <w:jc w:val="both"/>
        <w:rPr>
          <w:rFonts w:cs="Times New Roman"/>
        </w:rPr>
      </w:pPr>
    </w:p>
    <w:p w14:paraId="23261EE2" w14:textId="77777777" w:rsidR="002C25FB" w:rsidRDefault="002C25FB" w:rsidP="00D95F1F">
      <w:pPr>
        <w:tabs>
          <w:tab w:val="left" w:pos="-1440"/>
        </w:tabs>
        <w:snapToGrid w:val="0"/>
        <w:jc w:val="both"/>
        <w:rPr>
          <w:rFonts w:cs="Times New Roman"/>
        </w:rPr>
      </w:pPr>
      <w:r>
        <w:rPr>
          <w:rFonts w:cs="Times New Roman"/>
        </w:rPr>
        <w:t>Pour justifier de sa demande nouvelle, elle dépose les résultats d’échographies réalisées.</w:t>
      </w:r>
    </w:p>
    <w:p w14:paraId="087B831F" w14:textId="77777777" w:rsidR="00D95F1F" w:rsidRDefault="00D95F1F" w:rsidP="00D95F1F">
      <w:pPr>
        <w:tabs>
          <w:tab w:val="left" w:pos="-1440"/>
        </w:tabs>
        <w:snapToGrid w:val="0"/>
        <w:jc w:val="both"/>
        <w:rPr>
          <w:rFonts w:cs="Times New Roman"/>
        </w:rPr>
      </w:pPr>
    </w:p>
    <w:p w14:paraId="0561E686" w14:textId="77777777" w:rsidR="00D95F1F" w:rsidRDefault="00D95F1F" w:rsidP="00D95F1F">
      <w:pPr>
        <w:tabs>
          <w:tab w:val="left" w:pos="-1440"/>
        </w:tabs>
        <w:snapToGrid w:val="0"/>
        <w:jc w:val="both"/>
        <w:rPr>
          <w:rFonts w:cs="Times New Roman"/>
        </w:rPr>
      </w:pPr>
      <w:r>
        <w:rPr>
          <w:rFonts w:cs="Times New Roman"/>
        </w:rPr>
        <w:t>En ce qui concerne l’exposition au risque professionnel, elle détaille les tâches réalisées durant son travail.</w:t>
      </w:r>
    </w:p>
    <w:p w14:paraId="17D5673E" w14:textId="77777777" w:rsidR="00D95F1F" w:rsidRDefault="00D95F1F" w:rsidP="00D95F1F">
      <w:pPr>
        <w:tabs>
          <w:tab w:val="left" w:pos="-1440"/>
        </w:tabs>
        <w:snapToGrid w:val="0"/>
        <w:jc w:val="both"/>
        <w:rPr>
          <w:rFonts w:cs="Times New Roman"/>
        </w:rPr>
      </w:pPr>
      <w:r>
        <w:rPr>
          <w:rFonts w:cs="Times New Roman"/>
        </w:rPr>
        <w:t>Elle décrit sa carrière professionnelle en pièce 8 de son dossier.</w:t>
      </w:r>
    </w:p>
    <w:p w14:paraId="70E670B7" w14:textId="77777777" w:rsidR="00D95F1F" w:rsidRPr="007070C3" w:rsidRDefault="00D95F1F" w:rsidP="00D95F1F">
      <w:pPr>
        <w:tabs>
          <w:tab w:val="left" w:pos="-1440"/>
        </w:tabs>
        <w:snapToGrid w:val="0"/>
        <w:jc w:val="both"/>
        <w:rPr>
          <w:rFonts w:cs="Times New Roman"/>
        </w:rPr>
      </w:pPr>
      <w:r>
        <w:rPr>
          <w:rFonts w:cs="Times New Roman"/>
        </w:rPr>
        <w:t>Elle dépose diverses attestations rédigées par ses collègues.</w:t>
      </w:r>
    </w:p>
    <w:p w14:paraId="537F095A" w14:textId="77777777" w:rsidR="00D95F1F" w:rsidRPr="007070C3" w:rsidRDefault="00D95F1F" w:rsidP="00D95F1F">
      <w:pPr>
        <w:tabs>
          <w:tab w:val="left" w:pos="-1440"/>
        </w:tabs>
        <w:snapToGrid w:val="0"/>
        <w:jc w:val="both"/>
        <w:rPr>
          <w:rFonts w:cs="Times New Roman"/>
        </w:rPr>
      </w:pPr>
    </w:p>
    <w:p w14:paraId="4B9698B0" w14:textId="77777777" w:rsidR="00D95F1F" w:rsidRPr="007070C3" w:rsidRDefault="00D95F1F" w:rsidP="00D95F1F">
      <w:pPr>
        <w:tabs>
          <w:tab w:val="left" w:pos="-1440"/>
        </w:tabs>
        <w:snapToGrid w:val="0"/>
        <w:jc w:val="both"/>
        <w:rPr>
          <w:rFonts w:cs="Times New Roman"/>
        </w:rPr>
      </w:pPr>
      <w:r w:rsidRPr="007070C3">
        <w:rPr>
          <w:rFonts w:cs="Times New Roman"/>
        </w:rPr>
        <w:t>Elle sollicite, dès lors, avant dire droit, la désignation d’un expert à qui sera confiée la mission de déterminer si elle est atteinte d’une maladie reprise dans la liste sous le code 1.606.</w:t>
      </w:r>
      <w:r>
        <w:rPr>
          <w:rFonts w:cs="Times New Roman"/>
        </w:rPr>
        <w:t>22</w:t>
      </w:r>
      <w:r w:rsidRPr="007070C3">
        <w:rPr>
          <w:rFonts w:cs="Times New Roman"/>
        </w:rPr>
        <w:t>.</w:t>
      </w:r>
    </w:p>
    <w:p w14:paraId="6B6C6D5A" w14:textId="77777777" w:rsidR="00D95F1F" w:rsidRPr="007070C3" w:rsidRDefault="00D95F1F" w:rsidP="00D95F1F">
      <w:pPr>
        <w:tabs>
          <w:tab w:val="left" w:pos="-1440"/>
        </w:tabs>
        <w:snapToGrid w:val="0"/>
        <w:jc w:val="both"/>
        <w:rPr>
          <w:rFonts w:cs="Times New Roman"/>
        </w:rPr>
      </w:pPr>
    </w:p>
    <w:p w14:paraId="39AC1899" w14:textId="77777777" w:rsidR="00D95F1F" w:rsidRPr="00C71872" w:rsidRDefault="00D95F1F" w:rsidP="00D95F1F">
      <w:pPr>
        <w:tabs>
          <w:tab w:val="left" w:pos="-1440"/>
        </w:tabs>
        <w:snapToGrid w:val="0"/>
        <w:jc w:val="both"/>
        <w:rPr>
          <w:rFonts w:cs="Times New Roman"/>
        </w:rPr>
      </w:pPr>
      <w:r w:rsidRPr="00C71872">
        <w:rPr>
          <w:rFonts w:cs="Times New Roman"/>
          <w:u w:val="single"/>
        </w:rPr>
        <w:t>La partie défenderesse</w:t>
      </w:r>
      <w:r w:rsidRPr="00C71872">
        <w:rPr>
          <w:rFonts w:cs="Times New Roman"/>
        </w:rPr>
        <w:t xml:space="preserve"> postule, </w:t>
      </w:r>
      <w:r w:rsidRPr="00C71872">
        <w:rPr>
          <w:rFonts w:cs="Times New Roman"/>
          <w:b/>
        </w:rPr>
        <w:t>à titre principal</w:t>
      </w:r>
      <w:r w:rsidRPr="00C71872">
        <w:rPr>
          <w:rFonts w:cs="Times New Roman"/>
        </w:rPr>
        <w:t>, qu’il soit statué ce que de droit quant à la recevabilité et que la demande soit déclarée non fondée.</w:t>
      </w:r>
    </w:p>
    <w:p w14:paraId="1A3865A6" w14:textId="77777777" w:rsidR="00D95F1F" w:rsidRDefault="00D95F1F" w:rsidP="00D95F1F">
      <w:pPr>
        <w:tabs>
          <w:tab w:val="left" w:pos="-1440"/>
        </w:tabs>
        <w:snapToGrid w:val="0"/>
        <w:jc w:val="both"/>
        <w:rPr>
          <w:rFonts w:cs="Times New Roman"/>
        </w:rPr>
      </w:pPr>
    </w:p>
    <w:p w14:paraId="00A05066" w14:textId="77777777" w:rsidR="00E90317" w:rsidRDefault="00E90317" w:rsidP="00D95F1F">
      <w:pPr>
        <w:tabs>
          <w:tab w:val="left" w:pos="-1440"/>
        </w:tabs>
        <w:snapToGrid w:val="0"/>
        <w:jc w:val="both"/>
        <w:rPr>
          <w:rFonts w:cs="Times New Roman"/>
        </w:rPr>
      </w:pPr>
      <w:r>
        <w:rPr>
          <w:rFonts w:cs="Times New Roman"/>
        </w:rPr>
        <w:t>Elle rappelle que la demande a été introduite pour une tendinopathie de l’épaule gauche.</w:t>
      </w:r>
    </w:p>
    <w:p w14:paraId="21390A49" w14:textId="77777777" w:rsidR="00E90317" w:rsidRDefault="00E90317" w:rsidP="00D95F1F">
      <w:pPr>
        <w:tabs>
          <w:tab w:val="left" w:pos="-1440"/>
        </w:tabs>
        <w:snapToGrid w:val="0"/>
        <w:jc w:val="both"/>
        <w:rPr>
          <w:rFonts w:cs="Times New Roman"/>
        </w:rPr>
      </w:pPr>
      <w:r>
        <w:rPr>
          <w:rFonts w:cs="Times New Roman"/>
        </w:rPr>
        <w:t>Elle relève que le médecin conseil</w:t>
      </w:r>
      <w:r w:rsidR="00F84B58">
        <w:rPr>
          <w:rFonts w:cs="Times New Roman"/>
        </w:rPr>
        <w:t xml:space="preserve"> de la partie demanderesse</w:t>
      </w:r>
      <w:r>
        <w:rPr>
          <w:rFonts w:cs="Times New Roman"/>
        </w:rPr>
        <w:t xml:space="preserve"> reconnait lui-même qu’il n’y a pas d’exposition au risque professionnel.</w:t>
      </w:r>
    </w:p>
    <w:p w14:paraId="244C52F6" w14:textId="77777777" w:rsidR="000B31B7" w:rsidRDefault="000B31B7" w:rsidP="00D95F1F">
      <w:pPr>
        <w:tabs>
          <w:tab w:val="left" w:pos="-1440"/>
        </w:tabs>
        <w:snapToGrid w:val="0"/>
        <w:jc w:val="both"/>
        <w:rPr>
          <w:rFonts w:cs="Times New Roman"/>
        </w:rPr>
      </w:pPr>
    </w:p>
    <w:p w14:paraId="1F176E70" w14:textId="77777777" w:rsidR="000B31B7" w:rsidRDefault="000B31B7" w:rsidP="00D95F1F">
      <w:pPr>
        <w:tabs>
          <w:tab w:val="left" w:pos="-1440"/>
        </w:tabs>
        <w:snapToGrid w:val="0"/>
        <w:jc w:val="both"/>
        <w:rPr>
          <w:rFonts w:cs="Times New Roman"/>
        </w:rPr>
      </w:pPr>
      <w:r>
        <w:rPr>
          <w:rFonts w:cs="Times New Roman"/>
        </w:rPr>
        <w:t>Pour autant que de besoin, elle explique les raisons qui lui permettent de considérer qu’il n’y a ni atteinte ni exposition au risque professionnel.</w:t>
      </w:r>
    </w:p>
    <w:p w14:paraId="60F49052" w14:textId="77777777" w:rsidR="000B31B7" w:rsidRDefault="000B31B7" w:rsidP="00D95F1F">
      <w:pPr>
        <w:tabs>
          <w:tab w:val="left" w:pos="-1440"/>
        </w:tabs>
        <w:snapToGrid w:val="0"/>
        <w:jc w:val="both"/>
        <w:rPr>
          <w:rFonts w:cs="Times New Roman"/>
          <w:highlight w:val="cyan"/>
        </w:rPr>
      </w:pPr>
    </w:p>
    <w:p w14:paraId="215182E1" w14:textId="77777777" w:rsidR="00D95F1F" w:rsidRDefault="00D95F1F" w:rsidP="00D95F1F">
      <w:pPr>
        <w:tabs>
          <w:tab w:val="left" w:pos="-1440"/>
        </w:tabs>
        <w:snapToGrid w:val="0"/>
        <w:jc w:val="both"/>
        <w:rPr>
          <w:rFonts w:cs="Times New Roman"/>
        </w:rPr>
      </w:pPr>
      <w:r w:rsidRPr="000B31B7">
        <w:rPr>
          <w:rFonts w:cs="Times New Roman"/>
        </w:rPr>
        <w:t>Quant à l’exposition au risque professionnel, elle rappelle les principes qu’elle estime devoir être appliqués.</w:t>
      </w:r>
    </w:p>
    <w:p w14:paraId="4F16AEE1" w14:textId="77777777" w:rsidR="000B31B7" w:rsidRDefault="000B31B7" w:rsidP="00D95F1F">
      <w:pPr>
        <w:tabs>
          <w:tab w:val="left" w:pos="-1440"/>
        </w:tabs>
        <w:snapToGrid w:val="0"/>
        <w:jc w:val="both"/>
        <w:rPr>
          <w:rFonts w:cs="Times New Roman"/>
        </w:rPr>
      </w:pPr>
      <w:r>
        <w:rPr>
          <w:rFonts w:cs="Times New Roman"/>
        </w:rPr>
        <w:t>Elle détaille la carrière de la partie demanderesse pour conclure à l’absence d’exposition au risque professionnel en l’absence d’élévation des bras à plus de 90 °.</w:t>
      </w:r>
    </w:p>
    <w:p w14:paraId="343FCFF8" w14:textId="77777777" w:rsidR="00957817" w:rsidRDefault="00957817" w:rsidP="00D95F1F">
      <w:pPr>
        <w:tabs>
          <w:tab w:val="left" w:pos="-1440"/>
        </w:tabs>
        <w:snapToGrid w:val="0"/>
        <w:jc w:val="both"/>
        <w:rPr>
          <w:rFonts w:cs="Times New Roman"/>
        </w:rPr>
      </w:pPr>
    </w:p>
    <w:p w14:paraId="0F1A3BF5" w14:textId="77777777" w:rsidR="00957817" w:rsidRDefault="00957817" w:rsidP="00D95F1F">
      <w:pPr>
        <w:tabs>
          <w:tab w:val="left" w:pos="-1440"/>
        </w:tabs>
        <w:snapToGrid w:val="0"/>
        <w:jc w:val="both"/>
        <w:rPr>
          <w:rFonts w:cs="Times New Roman"/>
        </w:rPr>
      </w:pPr>
      <w:r>
        <w:rPr>
          <w:rFonts w:cs="Times New Roman"/>
        </w:rPr>
        <w:t>En ce qui concerne les demandes nouvelles pour une épicondylite droite et gauche, elle soulève le principe du préalable administratif.</w:t>
      </w:r>
    </w:p>
    <w:p w14:paraId="7C7AD7D4" w14:textId="77777777" w:rsidR="00957817" w:rsidRDefault="00957817" w:rsidP="00D95F1F">
      <w:pPr>
        <w:tabs>
          <w:tab w:val="left" w:pos="-1440"/>
        </w:tabs>
        <w:snapToGrid w:val="0"/>
        <w:jc w:val="both"/>
        <w:rPr>
          <w:rFonts w:cs="Times New Roman"/>
        </w:rPr>
      </w:pPr>
    </w:p>
    <w:p w14:paraId="0FB6D834" w14:textId="77777777" w:rsidR="00957817" w:rsidRPr="000B31B7" w:rsidRDefault="00957817" w:rsidP="00D95F1F">
      <w:pPr>
        <w:tabs>
          <w:tab w:val="left" w:pos="-1440"/>
        </w:tabs>
        <w:snapToGrid w:val="0"/>
        <w:jc w:val="both"/>
        <w:rPr>
          <w:rFonts w:cs="Times New Roman"/>
        </w:rPr>
      </w:pPr>
      <w:r>
        <w:rPr>
          <w:rFonts w:cs="Times New Roman"/>
        </w:rPr>
        <w:t>Aussi, elle considère cette demande comme non fondée.</w:t>
      </w:r>
    </w:p>
    <w:p w14:paraId="749103DA" w14:textId="77777777" w:rsidR="00D95F1F" w:rsidRPr="00957817" w:rsidRDefault="00D95F1F" w:rsidP="00D95F1F">
      <w:pPr>
        <w:tabs>
          <w:tab w:val="left" w:pos="-1440"/>
        </w:tabs>
        <w:snapToGrid w:val="0"/>
        <w:jc w:val="both"/>
        <w:rPr>
          <w:rFonts w:cs="Times New Roman"/>
        </w:rPr>
      </w:pPr>
      <w:r w:rsidRPr="00957817">
        <w:rPr>
          <w:rFonts w:cs="Times New Roman"/>
          <w:b/>
        </w:rPr>
        <w:t>A titre subsidiaire</w:t>
      </w:r>
      <w:r w:rsidRPr="00957817">
        <w:rPr>
          <w:rFonts w:cs="Times New Roman"/>
        </w:rPr>
        <w:t>, si une expertise devait être diligentée, elle précise la mission d’expertise à devoir soumettre.</w:t>
      </w:r>
    </w:p>
    <w:p w14:paraId="7A4DAE8A" w14:textId="77777777" w:rsidR="00D95F1F" w:rsidRPr="00957817" w:rsidRDefault="00D95F1F" w:rsidP="00D95F1F">
      <w:pPr>
        <w:tabs>
          <w:tab w:val="left" w:pos="-1440"/>
        </w:tabs>
        <w:snapToGrid w:val="0"/>
        <w:jc w:val="both"/>
        <w:rPr>
          <w:rFonts w:cs="Times New Roman"/>
        </w:rPr>
      </w:pPr>
    </w:p>
    <w:p w14:paraId="112DD727" w14:textId="77777777" w:rsidR="00D95F1F" w:rsidRPr="00957817" w:rsidRDefault="00D95F1F" w:rsidP="00D95F1F">
      <w:pPr>
        <w:tabs>
          <w:tab w:val="left" w:pos="-1440"/>
        </w:tabs>
        <w:snapToGrid w:val="0"/>
        <w:jc w:val="both"/>
        <w:rPr>
          <w:rFonts w:cs="Times New Roman"/>
        </w:rPr>
      </w:pPr>
      <w:r w:rsidRPr="00957817">
        <w:rPr>
          <w:rFonts w:cs="Times New Roman"/>
        </w:rPr>
        <w:t>Elle sollicite l’écartement de l’article 1050 alinéa 2 du Code judiciaire et postule qu’il n’y ait pas lieu à exécution provisoire</w:t>
      </w:r>
    </w:p>
    <w:p w14:paraId="26A39FC1" w14:textId="77777777" w:rsidR="00D95F1F" w:rsidRPr="00957817" w:rsidRDefault="00D95F1F" w:rsidP="00D95F1F">
      <w:pPr>
        <w:tabs>
          <w:tab w:val="left" w:pos="-1440"/>
        </w:tabs>
        <w:snapToGrid w:val="0"/>
        <w:jc w:val="both"/>
        <w:rPr>
          <w:rFonts w:cs="Times New Roman"/>
        </w:rPr>
      </w:pPr>
    </w:p>
    <w:p w14:paraId="6E346582" w14:textId="77777777" w:rsidR="00D95F1F" w:rsidRPr="00957817" w:rsidRDefault="00D95F1F" w:rsidP="00D95F1F">
      <w:pPr>
        <w:tabs>
          <w:tab w:val="left" w:pos="-1440"/>
        </w:tabs>
        <w:snapToGrid w:val="0"/>
        <w:jc w:val="both"/>
        <w:rPr>
          <w:rFonts w:cs="Times New Roman"/>
        </w:rPr>
      </w:pPr>
      <w:r w:rsidRPr="00957817">
        <w:rPr>
          <w:rFonts w:cs="Times New Roman"/>
        </w:rPr>
        <w:t>Elle demande d’être autorisée à payer directement l’état de frais et honoraires aux sapiteurs désignés.</w:t>
      </w:r>
    </w:p>
    <w:p w14:paraId="6B27277B" w14:textId="77777777" w:rsidR="00D95F1F" w:rsidRPr="00957817" w:rsidRDefault="00D95F1F" w:rsidP="00D95F1F">
      <w:pPr>
        <w:tabs>
          <w:tab w:val="left" w:pos="-1440"/>
        </w:tabs>
        <w:snapToGrid w:val="0"/>
        <w:jc w:val="both"/>
        <w:rPr>
          <w:rFonts w:cs="Times New Roman"/>
        </w:rPr>
      </w:pPr>
    </w:p>
    <w:p w14:paraId="5822923E" w14:textId="77777777" w:rsidR="00D95F1F" w:rsidRDefault="00D95F1F" w:rsidP="00D95F1F">
      <w:pPr>
        <w:tabs>
          <w:tab w:val="left" w:pos="-1440"/>
        </w:tabs>
        <w:snapToGrid w:val="0"/>
        <w:jc w:val="both"/>
        <w:rPr>
          <w:rFonts w:cs="Times New Roman"/>
        </w:rPr>
      </w:pPr>
      <w:r w:rsidRPr="00957817">
        <w:rPr>
          <w:rFonts w:cs="Times New Roman"/>
        </w:rPr>
        <w:t>Enfin, elle demande qu’il soit réservé à statuer pour le surplus en ce compris les dépens.</w:t>
      </w:r>
    </w:p>
    <w:p w14:paraId="41513867" w14:textId="77777777" w:rsidR="000E3A5F" w:rsidRDefault="000E3A5F" w:rsidP="000E3A5F">
      <w:pPr>
        <w:tabs>
          <w:tab w:val="left" w:pos="-1440"/>
        </w:tabs>
        <w:snapToGrid w:val="0"/>
        <w:jc w:val="both"/>
        <w:rPr>
          <w:rFonts w:cs="Times New Roman"/>
          <w:b/>
          <w:bCs/>
          <w:u w:val="single"/>
          <w:lang w:val="fr-FR"/>
        </w:rPr>
      </w:pPr>
    </w:p>
    <w:p w14:paraId="63EDA620" w14:textId="77777777" w:rsidR="000E3A5F" w:rsidRPr="000E3A5F" w:rsidRDefault="000E3A5F" w:rsidP="000E3A5F">
      <w:pPr>
        <w:tabs>
          <w:tab w:val="left" w:pos="-1440"/>
        </w:tabs>
        <w:snapToGrid w:val="0"/>
        <w:jc w:val="both"/>
        <w:rPr>
          <w:rFonts w:cs="Times New Roman"/>
          <w:b/>
          <w:bCs/>
          <w:u w:val="single"/>
          <w:lang w:val="fr-FR"/>
        </w:rPr>
      </w:pPr>
    </w:p>
    <w:p w14:paraId="2F0B0A3E" w14:textId="77777777" w:rsidR="003367F0" w:rsidRPr="00335DF0" w:rsidRDefault="003367F0" w:rsidP="003367F0">
      <w:pPr>
        <w:pStyle w:val="Paragraphedeliste"/>
        <w:numPr>
          <w:ilvl w:val="0"/>
          <w:numId w:val="7"/>
        </w:numPr>
        <w:tabs>
          <w:tab w:val="left" w:pos="-1440"/>
        </w:tabs>
        <w:snapToGrid w:val="0"/>
        <w:jc w:val="both"/>
        <w:rPr>
          <w:rFonts w:cs="Times New Roman"/>
          <w:b/>
          <w:bCs/>
          <w:u w:val="single"/>
          <w:lang w:val="fr-FR"/>
        </w:rPr>
      </w:pPr>
      <w:r w:rsidRPr="00335DF0">
        <w:rPr>
          <w:rFonts w:cs="Times New Roman"/>
          <w:b/>
          <w:bCs/>
          <w:u w:val="single"/>
          <w:lang w:val="fr-FR"/>
        </w:rPr>
        <w:t>APPRECIATION.</w:t>
      </w:r>
    </w:p>
    <w:p w14:paraId="5594C696" w14:textId="77777777" w:rsidR="00302E61" w:rsidRDefault="00302E61" w:rsidP="00302E61">
      <w:pPr>
        <w:tabs>
          <w:tab w:val="left" w:pos="-1440"/>
        </w:tabs>
        <w:snapToGrid w:val="0"/>
        <w:jc w:val="both"/>
        <w:rPr>
          <w:rFonts w:cs="Times New Roman"/>
          <w:b/>
          <w:bCs/>
          <w:u w:val="single"/>
          <w:lang w:val="fr-FR"/>
        </w:rPr>
      </w:pPr>
    </w:p>
    <w:p w14:paraId="47934F12" w14:textId="77777777" w:rsidR="00B96FDB" w:rsidRPr="00476165" w:rsidRDefault="00B96FDB" w:rsidP="00302E61">
      <w:pPr>
        <w:tabs>
          <w:tab w:val="left" w:pos="-1440"/>
        </w:tabs>
        <w:snapToGrid w:val="0"/>
        <w:jc w:val="both"/>
        <w:rPr>
          <w:rFonts w:cs="Times New Roman"/>
          <w:b/>
          <w:bCs/>
          <w:u w:val="single"/>
          <w:lang w:val="fr-FR"/>
        </w:rPr>
      </w:pPr>
    </w:p>
    <w:p w14:paraId="794D3290" w14:textId="77777777" w:rsidR="00957817" w:rsidRDefault="00957817" w:rsidP="00844366">
      <w:pPr>
        <w:pStyle w:val="Paragraphedeliste"/>
        <w:numPr>
          <w:ilvl w:val="0"/>
          <w:numId w:val="15"/>
        </w:numPr>
        <w:tabs>
          <w:tab w:val="left" w:pos="-1440"/>
        </w:tabs>
        <w:snapToGrid w:val="0"/>
        <w:jc w:val="both"/>
        <w:rPr>
          <w:rFonts w:cs="Times New Roman"/>
          <w:b/>
          <w:bCs/>
          <w:lang w:val="fr-FR"/>
        </w:rPr>
      </w:pPr>
      <w:r w:rsidRPr="00B96FDB">
        <w:rPr>
          <w:rFonts w:cs="Times New Roman"/>
          <w:b/>
          <w:bCs/>
          <w:u w:val="single"/>
          <w:lang w:val="fr-FR"/>
        </w:rPr>
        <w:t>L’aveu – l’acquiescement</w:t>
      </w:r>
      <w:r>
        <w:rPr>
          <w:rFonts w:cs="Times New Roman"/>
          <w:b/>
          <w:bCs/>
          <w:lang w:val="fr-FR"/>
        </w:rPr>
        <w:t>.</w:t>
      </w:r>
    </w:p>
    <w:p w14:paraId="2199B407" w14:textId="77777777" w:rsidR="00957817" w:rsidRDefault="00957817" w:rsidP="00957817">
      <w:pPr>
        <w:tabs>
          <w:tab w:val="left" w:pos="-1440"/>
        </w:tabs>
        <w:snapToGrid w:val="0"/>
        <w:jc w:val="both"/>
        <w:rPr>
          <w:rFonts w:cs="Times New Roman"/>
          <w:b/>
          <w:bCs/>
          <w:lang w:val="fr-FR"/>
        </w:rPr>
      </w:pPr>
    </w:p>
    <w:p w14:paraId="209C31CF" w14:textId="77777777" w:rsidR="00186A38" w:rsidRDefault="00186A38" w:rsidP="00186A38">
      <w:pPr>
        <w:jc w:val="both"/>
      </w:pPr>
      <w:r>
        <w:t>Il n’est pas contesté que la matière des maladies professionnelles relève de l’ordre public.</w:t>
      </w:r>
    </w:p>
    <w:p w14:paraId="232F8DB2" w14:textId="77777777" w:rsidR="00186A38" w:rsidRDefault="00186A38" w:rsidP="00186A38">
      <w:pPr>
        <w:jc w:val="both"/>
      </w:pPr>
    </w:p>
    <w:p w14:paraId="725BA1AE" w14:textId="77777777" w:rsidR="00186A38" w:rsidRDefault="00186A38" w:rsidP="00186A38">
      <w:pPr>
        <w:jc w:val="both"/>
      </w:pPr>
      <w:r>
        <w:t>La doctrine considère que : « </w:t>
      </w:r>
      <w:r w:rsidR="007E74F7" w:rsidRPr="007E74F7">
        <w:rPr>
          <w:i/>
        </w:rPr>
        <w:t>l’aveu ne peut porter sur des choses dont la loi ne permet pas de disposer ou sur lesquelles il est interdit de transiger</w:t>
      </w:r>
      <w:r w:rsidR="006A3C99">
        <w:rPr>
          <w:i/>
        </w:rPr>
        <w:t>.</w:t>
      </w:r>
      <w:r w:rsidR="007E74F7" w:rsidRPr="007E74F7">
        <w:rPr>
          <w:i/>
        </w:rPr>
        <w:t xml:space="preserve"> »</w:t>
      </w:r>
      <w:r w:rsidR="007E74F7" w:rsidRPr="006A3C99">
        <w:rPr>
          <w:rStyle w:val="Appelnotedebasdep"/>
          <w:vertAlign w:val="superscript"/>
        </w:rPr>
        <w:footnoteReference w:id="1"/>
      </w:r>
      <w:r w:rsidR="007E74F7" w:rsidRPr="007E74F7">
        <w:rPr>
          <w:i/>
        </w:rPr>
        <w:t xml:space="preserve"> En l’espèce, la matière du statut juridique d’un travailleur relève de l’ordre public. En conséquence, l’aveu ne peut porter que sur un fait et non sur la qualification à donner à ce fait. Il ne peut concerner la solution de droit à donner au litige</w:t>
      </w:r>
      <w:r w:rsidR="007E74F7">
        <w:t>. »</w:t>
      </w:r>
      <w:r w:rsidR="007E74F7" w:rsidRPr="007E74F7">
        <w:rPr>
          <w:rStyle w:val="Appelnotedebasdep"/>
          <w:vertAlign w:val="superscript"/>
        </w:rPr>
        <w:footnoteReference w:id="2"/>
      </w:r>
    </w:p>
    <w:p w14:paraId="40567D02" w14:textId="77777777" w:rsidR="00186A38" w:rsidRPr="00912DB5" w:rsidRDefault="00186A38" w:rsidP="00186A38">
      <w:pPr>
        <w:jc w:val="both"/>
      </w:pPr>
    </w:p>
    <w:p w14:paraId="510685AD" w14:textId="77777777" w:rsidR="00186A38" w:rsidRPr="00912DB5" w:rsidRDefault="00186A38" w:rsidP="00186A38">
      <w:pPr>
        <w:rPr>
          <w:u w:val="single"/>
          <w:vertAlign w:val="superscript"/>
        </w:rPr>
      </w:pPr>
      <w:r>
        <w:t>De même, la jurisprudence décida</w:t>
      </w:r>
      <w:r w:rsidRPr="00912DB5">
        <w:t xml:space="preserve"> que « </w:t>
      </w:r>
      <w:r w:rsidRPr="00912DB5">
        <w:rPr>
          <w:i/>
        </w:rPr>
        <w:t>En réalité, les dispositions de la loi sur les maladies professionnelles sont d’ordre public de sorte que la reconnaissance éventuelle par l’appelante d’une maladie professionnelle ne préjuge ni de la réalité de la maladie, ni de sa nature, ni de ses conséquences et qu’une reconnaissance antérieure de l’existence d’une telle maladie ne lie pas l’appelante puisque l’aveu ne peut porter sur des choses dont la loi ne permet pas de disposer ou sur lesquelles il est interdit de transiger. </w:t>
      </w:r>
      <w:r w:rsidRPr="00912DB5">
        <w:rPr>
          <w:vertAlign w:val="superscript"/>
        </w:rPr>
        <w:t>»</w:t>
      </w:r>
      <w:r w:rsidRPr="00912DB5">
        <w:rPr>
          <w:rStyle w:val="Appelnotedebasdep"/>
          <w:vertAlign w:val="superscript"/>
        </w:rPr>
        <w:footnoteReference w:id="3"/>
      </w:r>
    </w:p>
    <w:p w14:paraId="0243106C" w14:textId="77777777" w:rsidR="00186A38" w:rsidRPr="00912DB5" w:rsidRDefault="00186A38" w:rsidP="00186A38">
      <w:pPr>
        <w:jc w:val="both"/>
      </w:pPr>
    </w:p>
    <w:p w14:paraId="61D9B927" w14:textId="77777777" w:rsidR="00186A38" w:rsidRPr="00912DB5" w:rsidRDefault="0040084C" w:rsidP="00186A38">
      <w:pPr>
        <w:jc w:val="both"/>
      </w:pPr>
      <w:r>
        <w:t>Aussi</w:t>
      </w:r>
      <w:r w:rsidR="00186A38" w:rsidRPr="00912DB5">
        <w:t>, en matière de preuve, l’aveu n’est jamais autorisé</w:t>
      </w:r>
      <w:r w:rsidR="00186A38" w:rsidRPr="00912DB5">
        <w:rPr>
          <w:rStyle w:val="Appelnotedebasdep"/>
          <w:vertAlign w:val="superscript"/>
        </w:rPr>
        <w:footnoteReference w:id="4"/>
      </w:r>
      <w:r w:rsidR="00186A38" w:rsidRPr="00912DB5">
        <w:t>.</w:t>
      </w:r>
    </w:p>
    <w:p w14:paraId="78A0F6AB" w14:textId="77777777" w:rsidR="00186A38" w:rsidRPr="00912DB5" w:rsidRDefault="00186A38" w:rsidP="00186A38">
      <w:pPr>
        <w:tabs>
          <w:tab w:val="left" w:pos="-1440"/>
        </w:tabs>
        <w:snapToGrid w:val="0"/>
        <w:jc w:val="both"/>
        <w:rPr>
          <w:rFonts w:cs="Times New Roman"/>
          <w:lang w:val="fr-FR"/>
        </w:rPr>
      </w:pPr>
    </w:p>
    <w:p w14:paraId="5223E55F" w14:textId="77777777" w:rsidR="00F21CEA" w:rsidRDefault="00186A38" w:rsidP="00186A38">
      <w:pPr>
        <w:tabs>
          <w:tab w:val="left" w:pos="-1440"/>
        </w:tabs>
        <w:snapToGrid w:val="0"/>
        <w:jc w:val="both"/>
        <w:rPr>
          <w:rFonts w:cs="Times New Roman"/>
          <w:lang w:val="fr-FR"/>
        </w:rPr>
      </w:pPr>
      <w:r w:rsidRPr="00912DB5">
        <w:rPr>
          <w:rFonts w:cs="Times New Roman"/>
          <w:lang w:val="fr-FR"/>
        </w:rPr>
        <w:lastRenderedPageBreak/>
        <w:t>Dès lors, le tribunal considère que même si le médecin conse</w:t>
      </w:r>
      <w:r w:rsidR="00560634">
        <w:rPr>
          <w:rFonts w:cs="Times New Roman"/>
          <w:lang w:val="fr-FR"/>
        </w:rPr>
        <w:t>il de la partie demanderesse semble vouloir dire, « en son temps », qu’il n’y a pas d’exposition au risque professionnel, il ne peut en être tiré un quelconque aveu ou acquiescement.</w:t>
      </w:r>
    </w:p>
    <w:p w14:paraId="4623530A" w14:textId="77777777" w:rsidR="00186A38" w:rsidRDefault="00560634" w:rsidP="00186A38">
      <w:pPr>
        <w:tabs>
          <w:tab w:val="left" w:pos="-1440"/>
        </w:tabs>
        <w:snapToGrid w:val="0"/>
        <w:jc w:val="both"/>
        <w:rPr>
          <w:rFonts w:cs="Times New Roman"/>
          <w:lang w:val="fr-FR"/>
        </w:rPr>
      </w:pPr>
      <w:r>
        <w:rPr>
          <w:rFonts w:cs="Times New Roman"/>
          <w:lang w:val="fr-FR"/>
        </w:rPr>
        <w:t>L’absence d’exposition est d’ailleurs contestée actuellement</w:t>
      </w:r>
      <w:r w:rsidR="00186A38" w:rsidRPr="00912DB5">
        <w:rPr>
          <w:rFonts w:cs="Times New Roman"/>
          <w:lang w:val="fr-FR"/>
        </w:rPr>
        <w:t>.</w:t>
      </w:r>
    </w:p>
    <w:p w14:paraId="54358531" w14:textId="77777777" w:rsidR="00B96FDB" w:rsidRDefault="00B96FDB" w:rsidP="00186A38">
      <w:pPr>
        <w:tabs>
          <w:tab w:val="left" w:pos="-1440"/>
        </w:tabs>
        <w:snapToGrid w:val="0"/>
        <w:jc w:val="both"/>
        <w:rPr>
          <w:rFonts w:cs="Times New Roman"/>
          <w:lang w:val="fr-FR"/>
        </w:rPr>
      </w:pPr>
    </w:p>
    <w:p w14:paraId="24438B7C" w14:textId="77777777" w:rsidR="00957817" w:rsidRPr="00186A38" w:rsidRDefault="00957817" w:rsidP="00957817">
      <w:pPr>
        <w:tabs>
          <w:tab w:val="left" w:pos="-1440"/>
        </w:tabs>
        <w:snapToGrid w:val="0"/>
        <w:jc w:val="both"/>
        <w:rPr>
          <w:rFonts w:cs="Times New Roman"/>
          <w:bCs/>
          <w:lang w:val="fr-FR"/>
        </w:rPr>
      </w:pPr>
    </w:p>
    <w:p w14:paraId="4E4ACFFD" w14:textId="77777777" w:rsidR="00957817" w:rsidRDefault="00B96FDB" w:rsidP="00844366">
      <w:pPr>
        <w:pStyle w:val="Paragraphedeliste"/>
        <w:numPr>
          <w:ilvl w:val="0"/>
          <w:numId w:val="15"/>
        </w:numPr>
        <w:tabs>
          <w:tab w:val="left" w:pos="-1440"/>
        </w:tabs>
        <w:snapToGrid w:val="0"/>
        <w:jc w:val="both"/>
        <w:rPr>
          <w:rFonts w:cs="Times New Roman"/>
          <w:b/>
          <w:bCs/>
          <w:lang w:val="fr-FR"/>
        </w:rPr>
      </w:pPr>
      <w:r w:rsidRPr="00B96FDB">
        <w:rPr>
          <w:rFonts w:cs="Times New Roman"/>
          <w:b/>
          <w:bCs/>
          <w:u w:val="single"/>
          <w:lang w:val="fr-FR"/>
        </w:rPr>
        <w:t>La demande incidente</w:t>
      </w:r>
      <w:r w:rsidR="00957817">
        <w:rPr>
          <w:rFonts w:cs="Times New Roman"/>
          <w:b/>
          <w:bCs/>
          <w:lang w:val="fr-FR"/>
        </w:rPr>
        <w:t>.</w:t>
      </w:r>
    </w:p>
    <w:p w14:paraId="271A02BD" w14:textId="77777777" w:rsidR="00957817" w:rsidRDefault="00957817" w:rsidP="00957817">
      <w:pPr>
        <w:tabs>
          <w:tab w:val="left" w:pos="-1440"/>
        </w:tabs>
        <w:snapToGrid w:val="0"/>
        <w:jc w:val="both"/>
        <w:rPr>
          <w:rFonts w:cs="Times New Roman"/>
          <w:b/>
          <w:bCs/>
          <w:lang w:val="fr-FR"/>
        </w:rPr>
      </w:pPr>
    </w:p>
    <w:p w14:paraId="2BE7E0BB" w14:textId="77777777" w:rsidR="001D35F3" w:rsidRDefault="001D35F3" w:rsidP="001D35F3">
      <w:pPr>
        <w:tabs>
          <w:tab w:val="left" w:pos="-2834"/>
          <w:tab w:val="left" w:pos="-2114"/>
          <w:tab w:val="left" w:pos="-1394"/>
          <w:tab w:val="left" w:pos="-674"/>
          <w:tab w:val="left" w:pos="709"/>
          <w:tab w:val="left" w:pos="2120"/>
        </w:tabs>
        <w:spacing w:line="240" w:lineRule="atLeast"/>
        <w:jc w:val="both"/>
      </w:pPr>
      <w:r>
        <w:t>Il y a lieu de distinguer la question du préalable administratif et les conditions d’application de l’article 807 du code judiciaire.</w:t>
      </w:r>
    </w:p>
    <w:p w14:paraId="79A53820" w14:textId="77777777" w:rsidR="001D35F3" w:rsidRDefault="001D35F3" w:rsidP="001D35F3">
      <w:pPr>
        <w:tabs>
          <w:tab w:val="left" w:pos="-2834"/>
          <w:tab w:val="left" w:pos="-2114"/>
          <w:tab w:val="left" w:pos="-1394"/>
          <w:tab w:val="left" w:pos="-674"/>
          <w:tab w:val="left" w:pos="709"/>
          <w:tab w:val="left" w:pos="2120"/>
        </w:tabs>
        <w:spacing w:line="240" w:lineRule="atLeast"/>
        <w:jc w:val="both"/>
      </w:pPr>
    </w:p>
    <w:p w14:paraId="52672DCB" w14:textId="77777777" w:rsidR="00B96FDB" w:rsidRDefault="00B96FDB" w:rsidP="001D35F3">
      <w:pPr>
        <w:tabs>
          <w:tab w:val="left" w:pos="-2834"/>
          <w:tab w:val="left" w:pos="-2114"/>
          <w:tab w:val="left" w:pos="-1394"/>
          <w:tab w:val="left" w:pos="-674"/>
          <w:tab w:val="left" w:pos="709"/>
          <w:tab w:val="left" w:pos="2120"/>
        </w:tabs>
        <w:spacing w:line="240" w:lineRule="atLeast"/>
        <w:jc w:val="both"/>
      </w:pPr>
    </w:p>
    <w:p w14:paraId="5B549C7C" w14:textId="77777777" w:rsidR="001D35F3" w:rsidRPr="005734D3" w:rsidRDefault="001D35F3" w:rsidP="001D35F3">
      <w:pPr>
        <w:pStyle w:val="Paragraphedeliste"/>
        <w:numPr>
          <w:ilvl w:val="0"/>
          <w:numId w:val="24"/>
        </w:numPr>
        <w:tabs>
          <w:tab w:val="left" w:pos="-1440"/>
        </w:tabs>
        <w:snapToGrid w:val="0"/>
        <w:jc w:val="both"/>
        <w:rPr>
          <w:b/>
        </w:rPr>
      </w:pPr>
      <w:r>
        <w:rPr>
          <w:b/>
        </w:rPr>
        <w:t xml:space="preserve">Le préalable administratif : </w:t>
      </w:r>
    </w:p>
    <w:p w14:paraId="580435C9" w14:textId="77777777" w:rsidR="001D35F3" w:rsidRDefault="001D35F3" w:rsidP="001D35F3">
      <w:pPr>
        <w:tabs>
          <w:tab w:val="left" w:pos="-1440"/>
        </w:tabs>
        <w:snapToGrid w:val="0"/>
        <w:jc w:val="both"/>
      </w:pPr>
    </w:p>
    <w:p w14:paraId="349039B6" w14:textId="77777777" w:rsidR="001D35F3" w:rsidRDefault="001D35F3" w:rsidP="001D35F3">
      <w:pPr>
        <w:tabs>
          <w:tab w:val="left" w:pos="-2834"/>
          <w:tab w:val="left" w:pos="-2114"/>
          <w:tab w:val="left" w:pos="-1394"/>
          <w:tab w:val="left" w:pos="-674"/>
          <w:tab w:val="left" w:pos="709"/>
          <w:tab w:val="left" w:pos="2120"/>
        </w:tabs>
        <w:spacing w:line="240" w:lineRule="atLeast"/>
        <w:jc w:val="both"/>
      </w:pPr>
      <w:r>
        <w:t>Dans le cadre de l’examen du respect du préalable administratif, diverses situations sont possibles.</w:t>
      </w:r>
    </w:p>
    <w:p w14:paraId="1C02BEDB" w14:textId="77777777" w:rsidR="001D35F3" w:rsidRDefault="001D35F3" w:rsidP="001D35F3">
      <w:pPr>
        <w:tabs>
          <w:tab w:val="left" w:pos="-1440"/>
        </w:tabs>
        <w:snapToGrid w:val="0"/>
        <w:jc w:val="both"/>
      </w:pPr>
    </w:p>
    <w:p w14:paraId="306092D4" w14:textId="77777777" w:rsidR="001D35F3" w:rsidRDefault="001D35F3" w:rsidP="001D35F3">
      <w:pPr>
        <w:tabs>
          <w:tab w:val="left" w:pos="-2834"/>
          <w:tab w:val="left" w:pos="-2114"/>
          <w:tab w:val="left" w:pos="-1394"/>
          <w:tab w:val="left" w:pos="-674"/>
          <w:tab w:val="left" w:pos="709"/>
          <w:tab w:val="left" w:pos="2120"/>
        </w:tabs>
        <w:spacing w:line="240" w:lineRule="atLeast"/>
        <w:jc w:val="both"/>
      </w:pPr>
      <w:r>
        <w:t>Une fois que l’administration a été saisie, ou, s’est saisie d’office d’une demande dans le cadre d’une première demande ou d’une demande en révision et qu’elle a statué ou n’a pas statué dans les délais impartis ou qu’elle n’a pas pris de décision, l’assuré social dispose d’un droit de recours qui englobe l’intégralité de la décision.</w:t>
      </w:r>
    </w:p>
    <w:p w14:paraId="03ED9C7F" w14:textId="77777777" w:rsidR="001D35F3" w:rsidRDefault="001D35F3" w:rsidP="001D35F3">
      <w:pPr>
        <w:tabs>
          <w:tab w:val="left" w:pos="-2834"/>
          <w:tab w:val="left" w:pos="-2114"/>
          <w:tab w:val="left" w:pos="-1394"/>
          <w:tab w:val="left" w:pos="-674"/>
          <w:tab w:val="left" w:pos="709"/>
          <w:tab w:val="left" w:pos="2120"/>
        </w:tabs>
        <w:spacing w:line="240" w:lineRule="atLeast"/>
        <w:jc w:val="both"/>
      </w:pPr>
    </w:p>
    <w:p w14:paraId="4D996092" w14:textId="77777777" w:rsidR="001D35F3" w:rsidRDefault="001D35F3" w:rsidP="001D35F3">
      <w:pPr>
        <w:tabs>
          <w:tab w:val="left" w:pos="-2834"/>
          <w:tab w:val="left" w:pos="-2114"/>
          <w:tab w:val="left" w:pos="-1394"/>
          <w:tab w:val="left" w:pos="-674"/>
          <w:tab w:val="left" w:pos="709"/>
          <w:tab w:val="left" w:pos="2120"/>
        </w:tabs>
        <w:spacing w:line="240" w:lineRule="atLeast"/>
        <w:jc w:val="both"/>
      </w:pPr>
      <w:r>
        <w:t xml:space="preserve">Aucune composante de la décision n’échappe au pouvoir judiciaire. </w:t>
      </w:r>
    </w:p>
    <w:p w14:paraId="101A8FDE" w14:textId="77777777" w:rsidR="001D35F3" w:rsidRDefault="001D35F3" w:rsidP="001D35F3">
      <w:pPr>
        <w:tabs>
          <w:tab w:val="left" w:pos="-2834"/>
          <w:tab w:val="left" w:pos="-2114"/>
          <w:tab w:val="left" w:pos="-1394"/>
          <w:tab w:val="left" w:pos="-674"/>
          <w:tab w:val="left" w:pos="709"/>
          <w:tab w:val="left" w:pos="2120"/>
        </w:tabs>
        <w:spacing w:line="240" w:lineRule="atLeast"/>
        <w:jc w:val="both"/>
      </w:pPr>
      <w:r>
        <w:t xml:space="preserve">En effet, ce dernier est investi de la compétence dont dispose l’administration pour statuer à son tour sur la contestation même si FEDRIS n’a pas abordé tous les aspects de la </w:t>
      </w:r>
      <w:r w:rsidR="00027203">
        <w:t>problématique actuellement soulevée</w:t>
      </w:r>
      <w:r>
        <w:t>.</w:t>
      </w:r>
    </w:p>
    <w:p w14:paraId="660DEE6B" w14:textId="77777777" w:rsidR="001D35F3" w:rsidRDefault="001D35F3" w:rsidP="001D35F3">
      <w:pPr>
        <w:tabs>
          <w:tab w:val="left" w:pos="-1440"/>
        </w:tabs>
        <w:snapToGrid w:val="0"/>
        <w:jc w:val="both"/>
      </w:pPr>
    </w:p>
    <w:p w14:paraId="3F80769B" w14:textId="77777777" w:rsidR="001D35F3" w:rsidRPr="00DE0392" w:rsidRDefault="001D35F3" w:rsidP="001D35F3">
      <w:pPr>
        <w:tabs>
          <w:tab w:val="left" w:pos="-1440"/>
        </w:tabs>
        <w:snapToGrid w:val="0"/>
        <w:jc w:val="both"/>
        <w:rPr>
          <w:i/>
        </w:rPr>
      </w:pPr>
      <w:r>
        <w:t>Ainsi, la jurisprudence</w:t>
      </w:r>
      <w:r w:rsidRPr="00027203">
        <w:rPr>
          <w:rStyle w:val="Appelnotedebasdep"/>
          <w:vertAlign w:val="superscript"/>
        </w:rPr>
        <w:footnoteReference w:id="5"/>
      </w:r>
      <w:r w:rsidRPr="00027203">
        <w:rPr>
          <w:vertAlign w:val="superscript"/>
        </w:rPr>
        <w:t xml:space="preserve"> </w:t>
      </w:r>
      <w:r>
        <w:t>considère que «</w:t>
      </w:r>
      <w:r w:rsidRPr="00DE0392">
        <w:rPr>
          <w:i/>
        </w:rPr>
        <w:t xml:space="preserve">Il est admis que le justiciable ne peut saisir les juridictions du travail d’une demande principale portant sur le droit subjectif à une prestation sociale sans qu’elle n’ait été précédée d’une procédure administrative portant, ou ayant dû porter, sur cette prestation, que cette procédure ait eu lieu sur demande ou d’office. </w:t>
      </w:r>
    </w:p>
    <w:p w14:paraId="3E52FC30" w14:textId="77777777" w:rsidR="001D35F3" w:rsidRPr="00DE0392" w:rsidRDefault="001D35F3" w:rsidP="001D35F3">
      <w:pPr>
        <w:tabs>
          <w:tab w:val="left" w:pos="-1440"/>
        </w:tabs>
        <w:snapToGrid w:val="0"/>
        <w:jc w:val="both"/>
        <w:rPr>
          <w:i/>
        </w:rPr>
      </w:pPr>
    </w:p>
    <w:p w14:paraId="10A19C26" w14:textId="77777777" w:rsidR="001D35F3" w:rsidRPr="00DE0392" w:rsidRDefault="001D35F3" w:rsidP="001D35F3">
      <w:pPr>
        <w:tabs>
          <w:tab w:val="left" w:pos="-1440"/>
        </w:tabs>
        <w:snapToGrid w:val="0"/>
        <w:jc w:val="both"/>
        <w:rPr>
          <w:i/>
        </w:rPr>
      </w:pPr>
      <w:r w:rsidRPr="00DE0392">
        <w:rPr>
          <w:i/>
        </w:rPr>
        <w:t>Une telle demande principale non précédée de cette procédure administrative est irrecevable. Cette règle est fréquemment qualifiée de « préalable administratif ». (…)</w:t>
      </w:r>
    </w:p>
    <w:p w14:paraId="22F02810" w14:textId="77777777" w:rsidR="001D35F3" w:rsidRPr="00DE0392" w:rsidRDefault="001D35F3" w:rsidP="001D35F3">
      <w:pPr>
        <w:tabs>
          <w:tab w:val="left" w:pos="-1440"/>
        </w:tabs>
        <w:snapToGrid w:val="0"/>
        <w:jc w:val="both"/>
        <w:rPr>
          <w:i/>
        </w:rPr>
      </w:pPr>
    </w:p>
    <w:p w14:paraId="723DA183" w14:textId="77777777" w:rsidR="001D35F3" w:rsidRPr="00DE0392" w:rsidRDefault="001D35F3" w:rsidP="001D35F3">
      <w:pPr>
        <w:tabs>
          <w:tab w:val="left" w:pos="-1440"/>
        </w:tabs>
        <w:snapToGrid w:val="0"/>
        <w:jc w:val="both"/>
        <w:rPr>
          <w:i/>
        </w:rPr>
      </w:pPr>
      <w:r w:rsidRPr="00DE0392">
        <w:rPr>
          <w:i/>
        </w:rPr>
        <w:t xml:space="preserve">De ce qui vient d’être indiqué, se déduit que la procédure administrative préalable à une demande principale, c’est-à-dire constitutive d’une contestation, n’implique pas nécessairement une demande de l’assuré social. Cette procédure administrative peut avoir eu lieu d’office, c’est-à-dire à l’initiative de l’administration. </w:t>
      </w:r>
    </w:p>
    <w:p w14:paraId="416A052B" w14:textId="77777777" w:rsidR="001D35F3" w:rsidRPr="00DE0392" w:rsidRDefault="001D35F3" w:rsidP="001D35F3">
      <w:pPr>
        <w:tabs>
          <w:tab w:val="left" w:pos="-1440"/>
        </w:tabs>
        <w:snapToGrid w:val="0"/>
        <w:jc w:val="both"/>
        <w:rPr>
          <w:i/>
        </w:rPr>
      </w:pPr>
    </w:p>
    <w:p w14:paraId="1B550FBA" w14:textId="77777777" w:rsidR="001D35F3" w:rsidRPr="00DE0392" w:rsidRDefault="001D35F3" w:rsidP="001D35F3">
      <w:pPr>
        <w:tabs>
          <w:tab w:val="left" w:pos="-1440"/>
        </w:tabs>
        <w:snapToGrid w:val="0"/>
        <w:jc w:val="both"/>
        <w:rPr>
          <w:i/>
        </w:rPr>
      </w:pPr>
      <w:r w:rsidRPr="00DE0392">
        <w:rPr>
          <w:i/>
        </w:rPr>
        <w:t xml:space="preserve">Cette procédure administrative préalable n’implique pas davantage une décision. Le fait pour l’administration de ne pas se prononcer sur une demande dans le délai qui lui est imparti, fait naître un intérêt à contester son inaction, c’est-à-dire une contestation. </w:t>
      </w:r>
      <w:r>
        <w:rPr>
          <w:i/>
        </w:rPr>
        <w:t>(…)</w:t>
      </w:r>
    </w:p>
    <w:p w14:paraId="29490287" w14:textId="77777777" w:rsidR="001D35F3" w:rsidRPr="00DE0392" w:rsidRDefault="001D35F3" w:rsidP="001D35F3">
      <w:pPr>
        <w:tabs>
          <w:tab w:val="left" w:pos="-1440"/>
        </w:tabs>
        <w:snapToGrid w:val="0"/>
        <w:jc w:val="both"/>
        <w:rPr>
          <w:i/>
        </w:rPr>
      </w:pPr>
    </w:p>
    <w:p w14:paraId="70F2B21B" w14:textId="77777777" w:rsidR="001D35F3" w:rsidRPr="00DE0392" w:rsidRDefault="001D35F3" w:rsidP="001D35F3">
      <w:pPr>
        <w:tabs>
          <w:tab w:val="left" w:pos="-1440"/>
        </w:tabs>
        <w:snapToGrid w:val="0"/>
        <w:jc w:val="both"/>
        <w:rPr>
          <w:i/>
        </w:rPr>
      </w:pPr>
      <w:r w:rsidRPr="00DE0392">
        <w:rPr>
          <w:i/>
        </w:rPr>
        <w:t xml:space="preserve">L’exigence d’une procédure administrative n’implique enfin pas qu’elle ait effectivement porté sur la prestation qui fait l’objet de la demande en justice. </w:t>
      </w:r>
    </w:p>
    <w:p w14:paraId="29A7B770" w14:textId="77777777" w:rsidR="001D35F3" w:rsidRPr="00DE0392" w:rsidRDefault="001D35F3" w:rsidP="001D35F3">
      <w:pPr>
        <w:tabs>
          <w:tab w:val="left" w:pos="-1440"/>
        </w:tabs>
        <w:snapToGrid w:val="0"/>
        <w:jc w:val="both"/>
        <w:rPr>
          <w:i/>
        </w:rPr>
      </w:pPr>
    </w:p>
    <w:p w14:paraId="22350075" w14:textId="77777777" w:rsidR="001D35F3" w:rsidRPr="00DE0392" w:rsidRDefault="001D35F3" w:rsidP="001D35F3">
      <w:pPr>
        <w:tabs>
          <w:tab w:val="left" w:pos="-1440"/>
        </w:tabs>
        <w:snapToGrid w:val="0"/>
        <w:jc w:val="both"/>
        <w:rPr>
          <w:i/>
        </w:rPr>
      </w:pPr>
      <w:r w:rsidRPr="00DE0392">
        <w:rPr>
          <w:i/>
        </w:rPr>
        <w:t xml:space="preserve">Il peut suffire, compte tenu des obligations qui s’imposent à l’institution de sécurité </w:t>
      </w:r>
      <w:r w:rsidRPr="00DE0392">
        <w:rPr>
          <w:i/>
        </w:rPr>
        <w:lastRenderedPageBreak/>
        <w:t>sociale, qu’elle ait dû porter sur cette prestation.</w:t>
      </w:r>
    </w:p>
    <w:p w14:paraId="665F47E4" w14:textId="77777777" w:rsidR="001D35F3" w:rsidRPr="00DE0392" w:rsidRDefault="001D35F3" w:rsidP="001D35F3">
      <w:pPr>
        <w:tabs>
          <w:tab w:val="left" w:pos="-1440"/>
        </w:tabs>
        <w:snapToGrid w:val="0"/>
        <w:jc w:val="both"/>
        <w:rPr>
          <w:i/>
        </w:rPr>
      </w:pPr>
    </w:p>
    <w:p w14:paraId="7055E94A" w14:textId="77777777" w:rsidR="001D35F3" w:rsidRPr="00DE0392" w:rsidRDefault="001D35F3" w:rsidP="001D35F3">
      <w:pPr>
        <w:tabs>
          <w:tab w:val="left" w:pos="-1440"/>
        </w:tabs>
        <w:snapToGrid w:val="0"/>
        <w:jc w:val="both"/>
        <w:rPr>
          <w:i/>
        </w:rPr>
      </w:pPr>
      <w:r w:rsidRPr="00DE0392">
        <w:rPr>
          <w:i/>
        </w:rPr>
        <w:t xml:space="preserve">Aucune règle propre à la matière des maladies professionnelles ne déroge aux principes qui viennent d’être exposés. </w:t>
      </w:r>
    </w:p>
    <w:p w14:paraId="2AE3B891" w14:textId="77777777" w:rsidR="001D35F3" w:rsidRPr="00DE0392" w:rsidRDefault="001D35F3" w:rsidP="001D35F3">
      <w:pPr>
        <w:tabs>
          <w:tab w:val="left" w:pos="-1440"/>
        </w:tabs>
        <w:snapToGrid w:val="0"/>
        <w:jc w:val="both"/>
        <w:rPr>
          <w:i/>
        </w:rPr>
      </w:pPr>
    </w:p>
    <w:p w14:paraId="7D2C4FBD" w14:textId="77777777" w:rsidR="001D35F3" w:rsidRPr="00890123" w:rsidRDefault="001D35F3" w:rsidP="001D35F3">
      <w:pPr>
        <w:tabs>
          <w:tab w:val="left" w:pos="-1440"/>
        </w:tabs>
        <w:snapToGrid w:val="0"/>
        <w:jc w:val="both"/>
        <w:rPr>
          <w:rFonts w:cs="Times New Roman"/>
        </w:rPr>
      </w:pPr>
      <w:r w:rsidRPr="00DE0392">
        <w:rPr>
          <w:i/>
        </w:rPr>
        <w:t>En particulier, l’article 52 des lois coordonnées du 3 juin 1970 relatives à la prévention des maladies professionnelles et à la réparation des dommages résultant de celles-ci se borne à désigner l'autorité administrative chargée de statuer sur les demandes d'indemnisation, sans imposer que toute</w:t>
      </w:r>
      <w:r>
        <w:rPr>
          <w:i/>
        </w:rPr>
        <w:t xml:space="preserve"> d</w:t>
      </w:r>
      <w:r w:rsidRPr="00AD0464">
        <w:rPr>
          <w:i/>
        </w:rPr>
        <w:t>emande nouvelle formée devant la juridiction du travail saisie d'une contestation sur le droit à l'indemnisation soit soumise à une procédure administrative préalable.</w:t>
      </w:r>
      <w:r>
        <w:t> »</w:t>
      </w:r>
    </w:p>
    <w:p w14:paraId="27FC074A" w14:textId="77777777" w:rsidR="001D35F3" w:rsidRDefault="001D35F3" w:rsidP="001D35F3">
      <w:pPr>
        <w:tabs>
          <w:tab w:val="left" w:pos="-1440"/>
        </w:tabs>
        <w:snapToGrid w:val="0"/>
        <w:jc w:val="both"/>
        <w:rPr>
          <w:rFonts w:cs="Times New Roman"/>
          <w:b/>
        </w:rPr>
      </w:pPr>
    </w:p>
    <w:p w14:paraId="0AB05EA7" w14:textId="77777777" w:rsidR="001D35F3" w:rsidRDefault="001D35F3" w:rsidP="001D35F3">
      <w:pPr>
        <w:tabs>
          <w:tab w:val="left" w:pos="-1440"/>
        </w:tabs>
        <w:snapToGrid w:val="0"/>
        <w:jc w:val="both"/>
        <w:rPr>
          <w:rFonts w:cs="Times New Roman"/>
          <w:lang w:val="fr-FR"/>
        </w:rPr>
      </w:pPr>
      <w:r>
        <w:rPr>
          <w:rFonts w:cs="Times New Roman"/>
          <w:lang w:val="fr-FR"/>
        </w:rPr>
        <w:t>La Cour de cassation a décidé dans un arrêt du 12 décembre 2016</w:t>
      </w:r>
      <w:r w:rsidRPr="00B93B34">
        <w:rPr>
          <w:rStyle w:val="Appelnotedebasdep"/>
          <w:rFonts w:cs="Times New Roman"/>
          <w:vertAlign w:val="superscript"/>
          <w:lang w:val="fr-FR"/>
        </w:rPr>
        <w:footnoteReference w:id="6"/>
      </w:r>
      <w:r>
        <w:rPr>
          <w:rFonts w:cs="Times New Roman"/>
          <w:lang w:val="fr-FR"/>
        </w:rPr>
        <w:t xml:space="preserve">  qu’aux termes de l’article 807 du Code judiciaire, les conclusions nouvelles peuvent être fondées sur un fait ou un acte invoqué dans la citation même si leur qualification juridique est différente.</w:t>
      </w:r>
    </w:p>
    <w:p w14:paraId="2B2BEC0F" w14:textId="77777777" w:rsidR="001D35F3" w:rsidRDefault="001D35F3" w:rsidP="001D35F3">
      <w:pPr>
        <w:tabs>
          <w:tab w:val="left" w:pos="-1440"/>
        </w:tabs>
        <w:snapToGrid w:val="0"/>
        <w:jc w:val="both"/>
        <w:rPr>
          <w:rFonts w:cs="Times New Roman"/>
          <w:lang w:val="fr-FR"/>
        </w:rPr>
      </w:pPr>
    </w:p>
    <w:p w14:paraId="4F0BC88D" w14:textId="77777777" w:rsidR="001D35F3" w:rsidRPr="00726015" w:rsidRDefault="001D35F3" w:rsidP="001D35F3">
      <w:pPr>
        <w:tabs>
          <w:tab w:val="left" w:pos="-1440"/>
        </w:tabs>
        <w:snapToGrid w:val="0"/>
        <w:jc w:val="both"/>
        <w:rPr>
          <w:rFonts w:cs="Times New Roman"/>
          <w:lang w:val="fr-FR"/>
        </w:rPr>
      </w:pPr>
      <w:r>
        <w:rPr>
          <w:rFonts w:cs="Times New Roman"/>
          <w:lang w:val="fr-FR"/>
        </w:rPr>
        <w:t>Ainsi, le préalable administratif ne peut faire obstacle à la possibilité d’étendre ou de modifier sa demande prévue par ledit article 807 du Code judiciaire.</w:t>
      </w:r>
    </w:p>
    <w:p w14:paraId="12199F8B" w14:textId="77777777" w:rsidR="001D35F3" w:rsidRDefault="001D35F3" w:rsidP="001D35F3">
      <w:pPr>
        <w:tabs>
          <w:tab w:val="left" w:pos="-1440"/>
        </w:tabs>
        <w:snapToGrid w:val="0"/>
        <w:jc w:val="both"/>
        <w:rPr>
          <w:rFonts w:cs="Times New Roman"/>
          <w:i/>
          <w:u w:val="single"/>
          <w:lang w:val="fr-FR"/>
        </w:rPr>
      </w:pPr>
    </w:p>
    <w:p w14:paraId="7C0A548F" w14:textId="77777777" w:rsidR="001D35F3" w:rsidRPr="00D134A2" w:rsidRDefault="001D35F3" w:rsidP="001D35F3">
      <w:pPr>
        <w:tabs>
          <w:tab w:val="left" w:pos="-1440"/>
        </w:tabs>
        <w:snapToGrid w:val="0"/>
        <w:jc w:val="both"/>
        <w:rPr>
          <w:rFonts w:cs="Times New Roman"/>
          <w:lang w:val="fr-FR"/>
        </w:rPr>
      </w:pPr>
      <w:r>
        <w:rPr>
          <w:rFonts w:cs="Times New Roman"/>
          <w:lang w:val="fr-FR"/>
        </w:rPr>
        <w:t>La Cour du travail de Liège</w:t>
      </w:r>
      <w:r w:rsidRPr="00B93B34">
        <w:rPr>
          <w:rStyle w:val="Appelnotedebasdep"/>
          <w:rFonts w:cs="Times New Roman"/>
          <w:vertAlign w:val="superscript"/>
          <w:lang w:val="fr-FR"/>
        </w:rPr>
        <w:footnoteReference w:id="7"/>
      </w:r>
      <w:r w:rsidRPr="00B93B34">
        <w:rPr>
          <w:rFonts w:cs="Times New Roman"/>
          <w:vertAlign w:val="superscript"/>
          <w:lang w:val="fr-FR"/>
        </w:rPr>
        <w:t xml:space="preserve"> </w:t>
      </w:r>
      <w:r>
        <w:rPr>
          <w:rFonts w:cs="Times New Roman"/>
          <w:lang w:val="fr-FR"/>
        </w:rPr>
        <w:t>avait également estimé préalablement : « </w:t>
      </w:r>
      <w:r w:rsidRPr="00D134A2">
        <w:rPr>
          <w:rFonts w:cs="Times New Roman"/>
          <w:i/>
          <w:lang w:val="fr-FR"/>
        </w:rPr>
        <w:t>De façon générale, le principe du préalable administratif ne trouve à s’appliquer qu’à l’égard de l’objet initial du procès et ne peut pas faire obstacle à son élargissement, dans le respect du prescrit du Code judiciaire (art. 807)</w:t>
      </w:r>
      <w:r>
        <w:rPr>
          <w:rFonts w:cs="Times New Roman"/>
          <w:lang w:val="fr-FR"/>
        </w:rPr>
        <w:t> »</w:t>
      </w:r>
      <w:r w:rsidRPr="00D134A2">
        <w:rPr>
          <w:rFonts w:cs="Times New Roman"/>
          <w:lang w:val="fr-FR"/>
        </w:rPr>
        <w:t>.</w:t>
      </w:r>
    </w:p>
    <w:p w14:paraId="335AF394" w14:textId="77777777" w:rsidR="001D35F3" w:rsidRDefault="001D35F3" w:rsidP="001D35F3">
      <w:pPr>
        <w:tabs>
          <w:tab w:val="left" w:pos="-1440"/>
        </w:tabs>
        <w:snapToGrid w:val="0"/>
        <w:jc w:val="both"/>
        <w:rPr>
          <w:rFonts w:cs="Times New Roman"/>
          <w:b/>
        </w:rPr>
      </w:pPr>
    </w:p>
    <w:p w14:paraId="433F3188" w14:textId="77777777" w:rsidR="001D35F3" w:rsidRDefault="001D35F3" w:rsidP="001D35F3">
      <w:pPr>
        <w:tabs>
          <w:tab w:val="left" w:pos="-1440"/>
        </w:tabs>
        <w:snapToGrid w:val="0"/>
        <w:jc w:val="both"/>
        <w:rPr>
          <w:rFonts w:cs="Times New Roman"/>
        </w:rPr>
      </w:pPr>
      <w:r w:rsidRPr="00E266B8">
        <w:rPr>
          <w:rFonts w:cs="Times New Roman"/>
        </w:rPr>
        <w:t>Toutefois, il convient</w:t>
      </w:r>
      <w:r>
        <w:rPr>
          <w:rFonts w:cs="Times New Roman"/>
        </w:rPr>
        <w:t xml:space="preserve"> de s’assurer que toutes les conditions prévues à l’article 807 du Code judiciaire aient été respectées.</w:t>
      </w:r>
    </w:p>
    <w:p w14:paraId="6A5C1428" w14:textId="77777777" w:rsidR="001D35F3" w:rsidRPr="00E266B8" w:rsidRDefault="001D35F3" w:rsidP="001D35F3">
      <w:pPr>
        <w:tabs>
          <w:tab w:val="left" w:pos="-1440"/>
        </w:tabs>
        <w:snapToGrid w:val="0"/>
        <w:jc w:val="both"/>
        <w:rPr>
          <w:rFonts w:cs="Times New Roman"/>
        </w:rPr>
      </w:pPr>
    </w:p>
    <w:p w14:paraId="697E35FE" w14:textId="77777777" w:rsidR="001D35F3" w:rsidRPr="00E266B8" w:rsidRDefault="001D35F3" w:rsidP="001D35F3">
      <w:pPr>
        <w:tabs>
          <w:tab w:val="left" w:pos="-1440"/>
        </w:tabs>
        <w:snapToGrid w:val="0"/>
        <w:jc w:val="both"/>
        <w:rPr>
          <w:rFonts w:cs="Times New Roman"/>
        </w:rPr>
      </w:pPr>
    </w:p>
    <w:p w14:paraId="29EA4DF5" w14:textId="77777777" w:rsidR="001D35F3" w:rsidRPr="005734D3" w:rsidRDefault="001D35F3" w:rsidP="001D35F3">
      <w:pPr>
        <w:pStyle w:val="Paragraphedeliste"/>
        <w:numPr>
          <w:ilvl w:val="0"/>
          <w:numId w:val="24"/>
        </w:numPr>
        <w:tabs>
          <w:tab w:val="left" w:pos="-720"/>
        </w:tabs>
        <w:jc w:val="both"/>
        <w:rPr>
          <w:rFonts w:cs="Times New Roman"/>
          <w:b/>
        </w:rPr>
      </w:pPr>
      <w:r>
        <w:rPr>
          <w:rFonts w:cs="Times New Roman"/>
          <w:b/>
        </w:rPr>
        <w:t>L’article 807 du Code judiciaire.</w:t>
      </w:r>
    </w:p>
    <w:p w14:paraId="1CBD6D13" w14:textId="77777777" w:rsidR="001D35F3" w:rsidRDefault="001D35F3" w:rsidP="001D35F3">
      <w:pPr>
        <w:tabs>
          <w:tab w:val="left" w:pos="-720"/>
        </w:tabs>
        <w:jc w:val="both"/>
        <w:rPr>
          <w:rFonts w:cs="Times New Roman"/>
        </w:rPr>
      </w:pPr>
    </w:p>
    <w:p w14:paraId="2A0E26CE" w14:textId="77777777" w:rsidR="001D35F3" w:rsidRPr="00854785" w:rsidRDefault="001D35F3" w:rsidP="001D35F3">
      <w:pPr>
        <w:tabs>
          <w:tab w:val="left" w:pos="-720"/>
        </w:tabs>
        <w:jc w:val="both"/>
        <w:rPr>
          <w:rFonts w:cs="Times New Roman"/>
          <w:i/>
        </w:rPr>
      </w:pPr>
      <w:r>
        <w:rPr>
          <w:rFonts w:cs="Times New Roman"/>
        </w:rPr>
        <w:t>L</w:t>
      </w:r>
      <w:r w:rsidRPr="00854785">
        <w:rPr>
          <w:rFonts w:cs="Times New Roman"/>
        </w:rPr>
        <w:t>’article 807 du Code Judiciaire prévoit que ”</w:t>
      </w:r>
      <w:r w:rsidRPr="00854785">
        <w:rPr>
          <w:rFonts w:cs="Times New Roman"/>
          <w:i/>
        </w:rPr>
        <w:t>la demande dont le juge est saisi peut être étendue ou modifiée, si les conclusions nouvelles, contradictoirement prises, sont fondées sur un fait ou un acte invoqué dans la citation, même si leur qualification juridique est différente.”</w:t>
      </w:r>
    </w:p>
    <w:p w14:paraId="7BF36973" w14:textId="77777777" w:rsidR="001D35F3" w:rsidRDefault="001D35F3" w:rsidP="001D35F3">
      <w:pPr>
        <w:tabs>
          <w:tab w:val="left" w:pos="-1440"/>
        </w:tabs>
        <w:snapToGrid w:val="0"/>
        <w:jc w:val="both"/>
      </w:pPr>
    </w:p>
    <w:p w14:paraId="44215EF5" w14:textId="77777777" w:rsidR="001D35F3" w:rsidRPr="00854785" w:rsidRDefault="001D35F3" w:rsidP="001D35F3">
      <w:pPr>
        <w:tabs>
          <w:tab w:val="left" w:pos="-720"/>
        </w:tabs>
        <w:jc w:val="both"/>
        <w:rPr>
          <w:rFonts w:cs="Times New Roman"/>
        </w:rPr>
      </w:pPr>
      <w:r w:rsidRPr="00854785">
        <w:rPr>
          <w:rFonts w:cs="Times New Roman"/>
        </w:rPr>
        <w:t>Aussi, en vertu de l’article 807 du Code Judiciaire, la demande nouvelle est autorisée moyennant le respect de deux conditions :</w:t>
      </w:r>
    </w:p>
    <w:p w14:paraId="4F44B259" w14:textId="77777777" w:rsidR="001D35F3" w:rsidRPr="00854785" w:rsidRDefault="001D35F3" w:rsidP="001D35F3">
      <w:pPr>
        <w:tabs>
          <w:tab w:val="left" w:pos="-720"/>
        </w:tabs>
        <w:jc w:val="both"/>
        <w:rPr>
          <w:rFonts w:cs="Times New Roman"/>
        </w:rPr>
      </w:pPr>
    </w:p>
    <w:p w14:paraId="197AD5E7" w14:textId="77777777" w:rsidR="001D35F3" w:rsidRPr="00854785" w:rsidRDefault="001D35F3" w:rsidP="001D35F3">
      <w:pPr>
        <w:numPr>
          <w:ilvl w:val="0"/>
          <w:numId w:val="23"/>
        </w:numPr>
        <w:tabs>
          <w:tab w:val="left" w:pos="-720"/>
        </w:tabs>
        <w:autoSpaceDN/>
        <w:jc w:val="both"/>
        <w:textAlignment w:val="auto"/>
        <w:rPr>
          <w:rFonts w:cs="Times New Roman"/>
        </w:rPr>
      </w:pPr>
      <w:r w:rsidRPr="00854785">
        <w:rPr>
          <w:rFonts w:cs="Times New Roman"/>
        </w:rPr>
        <w:t>La demande nouvelle doit être fondée sur un fait ou un acte invoqué dans l’acte introductif d’instance.</w:t>
      </w:r>
    </w:p>
    <w:p w14:paraId="186CC308" w14:textId="77777777" w:rsidR="001D35F3" w:rsidRPr="00B93B34" w:rsidRDefault="001D35F3" w:rsidP="00B93B34">
      <w:pPr>
        <w:pStyle w:val="Paragraphedeliste"/>
        <w:numPr>
          <w:ilvl w:val="0"/>
          <w:numId w:val="23"/>
        </w:numPr>
        <w:tabs>
          <w:tab w:val="left" w:pos="-1440"/>
        </w:tabs>
        <w:snapToGrid w:val="0"/>
        <w:jc w:val="both"/>
        <w:rPr>
          <w:rFonts w:cs="Times New Roman"/>
          <w:bCs/>
          <w:lang w:val="fr-FR"/>
        </w:rPr>
      </w:pPr>
      <w:r w:rsidRPr="00B93B34">
        <w:rPr>
          <w:rFonts w:cs="Times New Roman"/>
        </w:rPr>
        <w:t>Elle doit être introduite, par voie de conclusions, à un moment où la procédure est contradictoire.</w:t>
      </w:r>
    </w:p>
    <w:p w14:paraId="1F82C1A8" w14:textId="77777777" w:rsidR="001D35F3" w:rsidRDefault="001D35F3" w:rsidP="00957817">
      <w:pPr>
        <w:tabs>
          <w:tab w:val="left" w:pos="-1440"/>
        </w:tabs>
        <w:snapToGrid w:val="0"/>
        <w:jc w:val="both"/>
        <w:rPr>
          <w:rFonts w:cs="Times New Roman"/>
          <w:b/>
          <w:bCs/>
          <w:lang w:val="fr-FR"/>
        </w:rPr>
      </w:pPr>
    </w:p>
    <w:p w14:paraId="764C02E6" w14:textId="77777777" w:rsidR="00B93B34" w:rsidRDefault="00B93B34" w:rsidP="00957817">
      <w:pPr>
        <w:tabs>
          <w:tab w:val="left" w:pos="-1440"/>
        </w:tabs>
        <w:snapToGrid w:val="0"/>
        <w:jc w:val="both"/>
        <w:rPr>
          <w:rFonts w:cs="Times New Roman"/>
          <w:b/>
          <w:bCs/>
          <w:lang w:val="fr-FR"/>
        </w:rPr>
      </w:pPr>
    </w:p>
    <w:p w14:paraId="5D182C96" w14:textId="77777777" w:rsidR="00B93B34" w:rsidRDefault="00B93B34" w:rsidP="00B93B34">
      <w:pPr>
        <w:pStyle w:val="Paragraphedeliste"/>
        <w:numPr>
          <w:ilvl w:val="0"/>
          <w:numId w:val="24"/>
        </w:numPr>
        <w:tabs>
          <w:tab w:val="left" w:pos="-1440"/>
        </w:tabs>
        <w:snapToGrid w:val="0"/>
        <w:jc w:val="both"/>
        <w:rPr>
          <w:rFonts w:cs="Times New Roman"/>
          <w:b/>
          <w:bCs/>
          <w:lang w:val="fr-FR"/>
        </w:rPr>
      </w:pPr>
      <w:r>
        <w:rPr>
          <w:rFonts w:cs="Times New Roman"/>
          <w:b/>
          <w:bCs/>
          <w:lang w:val="fr-FR"/>
        </w:rPr>
        <w:t>En l’espèce.</w:t>
      </w:r>
    </w:p>
    <w:p w14:paraId="03735A3A" w14:textId="77777777" w:rsidR="00B93B34" w:rsidRDefault="00B93B34" w:rsidP="00B93B34">
      <w:pPr>
        <w:tabs>
          <w:tab w:val="left" w:pos="-1440"/>
        </w:tabs>
        <w:snapToGrid w:val="0"/>
        <w:jc w:val="both"/>
        <w:rPr>
          <w:rFonts w:cs="Times New Roman"/>
          <w:b/>
          <w:bCs/>
          <w:lang w:val="fr-FR"/>
        </w:rPr>
      </w:pPr>
    </w:p>
    <w:p w14:paraId="7B590D7A" w14:textId="77777777" w:rsidR="00B93B34" w:rsidRPr="00B93B34" w:rsidRDefault="00B93B34" w:rsidP="00B93B34">
      <w:pPr>
        <w:pStyle w:val="En-tte"/>
        <w:jc w:val="both"/>
        <w:rPr>
          <w:lang w:val="fr-BE"/>
        </w:rPr>
      </w:pPr>
      <w:r>
        <w:rPr>
          <w:lang w:val="fr-BE"/>
        </w:rPr>
        <w:t>L</w:t>
      </w:r>
      <w:r w:rsidRPr="00B93B34">
        <w:rPr>
          <w:lang w:val="fr-BE"/>
        </w:rPr>
        <w:t>a partie demanderesse sollicite par voie de conclusions contradictoires prises et déposées au greffe du Tribunal de Céans</w:t>
      </w:r>
      <w:r>
        <w:rPr>
          <w:lang w:val="fr-BE"/>
        </w:rPr>
        <w:t xml:space="preserve">, le 25 </w:t>
      </w:r>
      <w:r w:rsidRPr="00B93B34">
        <w:rPr>
          <w:lang w:val="fr-BE"/>
        </w:rPr>
        <w:t xml:space="preserve"> février 20</w:t>
      </w:r>
      <w:r>
        <w:rPr>
          <w:lang w:val="fr-BE"/>
        </w:rPr>
        <w:t>22</w:t>
      </w:r>
      <w:r w:rsidRPr="00B93B34">
        <w:rPr>
          <w:lang w:val="fr-BE"/>
        </w:rPr>
        <w:t xml:space="preserve">, de procéder à la désignation d’un expert médecin à qui sera confiée la mission habituelle afin de confirmer qu’il y a </w:t>
      </w:r>
      <w:r w:rsidRPr="00B93B34">
        <w:rPr>
          <w:lang w:val="fr-BE"/>
        </w:rPr>
        <w:lastRenderedPageBreak/>
        <w:t>bien une incapacité physique consécutive à la maladie professionnelle portant le numéro de code 1.60</w:t>
      </w:r>
      <w:r>
        <w:rPr>
          <w:lang w:val="fr-BE"/>
        </w:rPr>
        <w:t>6.22 (épaule + coudes)</w:t>
      </w:r>
      <w:r w:rsidRPr="00B93B34">
        <w:rPr>
          <w:lang w:val="fr-BE"/>
        </w:rPr>
        <w:t>.</w:t>
      </w:r>
    </w:p>
    <w:p w14:paraId="2266FA2F" w14:textId="77777777" w:rsidR="00B93B34" w:rsidRPr="00B93B34" w:rsidRDefault="00B93B34" w:rsidP="00B93B34">
      <w:pPr>
        <w:pStyle w:val="En-tte"/>
        <w:jc w:val="both"/>
        <w:rPr>
          <w:lang w:val="fr-BE"/>
        </w:rPr>
      </w:pPr>
    </w:p>
    <w:p w14:paraId="63989019" w14:textId="77777777" w:rsidR="00B93B34" w:rsidRPr="00B93B34" w:rsidRDefault="00B93B34" w:rsidP="00B93B34">
      <w:pPr>
        <w:pStyle w:val="En-tte"/>
        <w:jc w:val="both"/>
        <w:rPr>
          <w:lang w:val="fr-BE"/>
        </w:rPr>
      </w:pPr>
      <w:r>
        <w:rPr>
          <w:lang w:val="fr-BE"/>
        </w:rPr>
        <w:t>Le t</w:t>
      </w:r>
      <w:r w:rsidRPr="00B93B34">
        <w:rPr>
          <w:lang w:val="fr-BE"/>
        </w:rPr>
        <w:t>ribunal considère que le principe du préalable administratif n’est pas mis à mal puisque la maladie professionnelle dont la réparation</w:t>
      </w:r>
      <w:r w:rsidR="003F592C">
        <w:rPr>
          <w:lang w:val="fr-BE"/>
        </w:rPr>
        <w:t xml:space="preserve"> revendiquée et reprise sous le code 1.606.22 vise les maladies tendineuses </w:t>
      </w:r>
      <w:r w:rsidR="003F592C" w:rsidRPr="003F592C">
        <w:rPr>
          <w:b/>
          <w:lang w:val="fr-BE"/>
        </w:rPr>
        <w:t>des membres supérieurs</w:t>
      </w:r>
      <w:r w:rsidRPr="00B93B34">
        <w:rPr>
          <w:lang w:val="fr-BE"/>
        </w:rPr>
        <w:t>.</w:t>
      </w:r>
    </w:p>
    <w:p w14:paraId="6EDD03AB" w14:textId="77777777" w:rsidR="00B93B34" w:rsidRPr="00B93B34" w:rsidRDefault="00B93B34" w:rsidP="00B93B34">
      <w:pPr>
        <w:pStyle w:val="En-tte"/>
        <w:jc w:val="both"/>
        <w:rPr>
          <w:lang w:val="fr-BE"/>
        </w:rPr>
      </w:pPr>
    </w:p>
    <w:p w14:paraId="2FE2A93D" w14:textId="77777777" w:rsidR="00B93B34" w:rsidRPr="00B93B34" w:rsidRDefault="00B93B34" w:rsidP="00B93B34">
      <w:pPr>
        <w:pStyle w:val="En-tte"/>
        <w:jc w:val="both"/>
        <w:rPr>
          <w:lang w:val="fr-BE"/>
        </w:rPr>
      </w:pPr>
      <w:r w:rsidRPr="00B93B34">
        <w:rPr>
          <w:lang w:val="fr-BE"/>
        </w:rPr>
        <w:t xml:space="preserve">L’article 8 bis de l’Arrêté Royal du 26 septembre 1996 énonce certes que </w:t>
      </w:r>
      <w:r w:rsidR="003F592C">
        <w:rPr>
          <w:lang w:val="fr-BE"/>
        </w:rPr>
        <w:t>FEDRIS</w:t>
      </w:r>
      <w:r w:rsidRPr="00B93B34">
        <w:rPr>
          <w:lang w:val="fr-BE"/>
        </w:rPr>
        <w:t xml:space="preserve"> limite l’examen de la demande à l’affection pour laquelle celle-ci est introduite.</w:t>
      </w:r>
    </w:p>
    <w:p w14:paraId="25835537" w14:textId="77777777" w:rsidR="00B93B34" w:rsidRPr="00B93B34" w:rsidRDefault="00B93B34" w:rsidP="00B93B34">
      <w:pPr>
        <w:pStyle w:val="En-tte"/>
        <w:jc w:val="both"/>
        <w:rPr>
          <w:lang w:val="fr-BE"/>
        </w:rPr>
      </w:pPr>
    </w:p>
    <w:p w14:paraId="3A68E078" w14:textId="77777777" w:rsidR="00B93B34" w:rsidRPr="00B93B34" w:rsidRDefault="00B93B34" w:rsidP="00B93B34">
      <w:pPr>
        <w:pStyle w:val="En-tte"/>
        <w:jc w:val="both"/>
        <w:rPr>
          <w:lang w:val="fr-BE"/>
        </w:rPr>
      </w:pPr>
      <w:r w:rsidRPr="00B93B34">
        <w:rPr>
          <w:lang w:val="fr-BE"/>
        </w:rPr>
        <w:t xml:space="preserve">Toutefois, le </w:t>
      </w:r>
      <w:r w:rsidR="003F592C">
        <w:rPr>
          <w:lang w:val="fr-BE"/>
        </w:rPr>
        <w:t>T</w:t>
      </w:r>
      <w:r w:rsidRPr="00B93B34">
        <w:rPr>
          <w:lang w:val="fr-BE"/>
        </w:rPr>
        <w:t>ribunal estime que l’affection qui doit être prise en considération vise la maladie présentée par l’assuré social</w:t>
      </w:r>
      <w:r w:rsidR="003F592C">
        <w:rPr>
          <w:lang w:val="fr-BE"/>
        </w:rPr>
        <w:t xml:space="preserve"> reprise sous le code 1.606.22 et ainsi les atteintes aux membres supérieurs</w:t>
      </w:r>
      <w:r w:rsidRPr="00B93B34">
        <w:rPr>
          <w:lang w:val="fr-BE"/>
        </w:rPr>
        <w:t>.</w:t>
      </w:r>
      <w:r w:rsidRPr="00B93B34">
        <w:rPr>
          <w:rStyle w:val="Appelnotedebasdep"/>
          <w:vertAlign w:val="superscript"/>
          <w:lang w:val="fr-BE"/>
        </w:rPr>
        <w:footnoteReference w:id="8"/>
      </w:r>
      <w:r w:rsidRPr="00B93B34">
        <w:rPr>
          <w:vertAlign w:val="superscript"/>
          <w:lang w:val="fr-BE"/>
        </w:rPr>
        <w:t>/</w:t>
      </w:r>
      <w:r w:rsidRPr="00B93B34">
        <w:rPr>
          <w:rStyle w:val="Appelnotedebasdep"/>
          <w:vertAlign w:val="superscript"/>
          <w:lang w:val="fr-BE"/>
        </w:rPr>
        <w:footnoteReference w:id="9"/>
      </w:r>
    </w:p>
    <w:p w14:paraId="64782BFD" w14:textId="77777777" w:rsidR="00B93B34" w:rsidRPr="00B93B34" w:rsidRDefault="00B93B34" w:rsidP="00B93B34">
      <w:pPr>
        <w:tabs>
          <w:tab w:val="left" w:pos="-720"/>
        </w:tabs>
        <w:jc w:val="both"/>
      </w:pPr>
    </w:p>
    <w:p w14:paraId="713C854A" w14:textId="77777777" w:rsidR="00B93B34" w:rsidRPr="00B93B34" w:rsidRDefault="00B93B34" w:rsidP="00B93B34">
      <w:pPr>
        <w:tabs>
          <w:tab w:val="left" w:pos="-720"/>
        </w:tabs>
        <w:jc w:val="both"/>
        <w:rPr>
          <w:i/>
        </w:rPr>
      </w:pPr>
      <w:r w:rsidRPr="00B93B34">
        <w:t>Enfin, l’article 4 de la Charte de l’assuré social prévoit que « </w:t>
      </w:r>
      <w:r w:rsidRPr="00B93B34">
        <w:rPr>
          <w:i/>
        </w:rPr>
        <w:t>dans les mêmes conditions, les institutions de sécurité sociale doivent dans les matières qui les concernent conseiller tout assuré social qui le demande sur l’exercice de ses droits ou l’accomplissement de ses devoirs et obligations (…). »</w:t>
      </w:r>
    </w:p>
    <w:p w14:paraId="39D255CE" w14:textId="77777777" w:rsidR="00B93B34" w:rsidRPr="00B93B34" w:rsidRDefault="00B93B34" w:rsidP="00B93B34">
      <w:pPr>
        <w:tabs>
          <w:tab w:val="left" w:pos="-720"/>
        </w:tabs>
        <w:jc w:val="both"/>
        <w:rPr>
          <w:i/>
        </w:rPr>
      </w:pPr>
    </w:p>
    <w:p w14:paraId="5532854B" w14:textId="77777777" w:rsidR="00B93B34" w:rsidRPr="00A24172" w:rsidRDefault="00B93B34" w:rsidP="00B93B34">
      <w:pPr>
        <w:tabs>
          <w:tab w:val="left" w:pos="-720"/>
        </w:tabs>
        <w:jc w:val="both"/>
      </w:pPr>
      <w:r w:rsidRPr="00B93B34">
        <w:t xml:space="preserve">Ainsi, le </w:t>
      </w:r>
      <w:r w:rsidR="007E7C7C">
        <w:t xml:space="preserve">tribunal considère que le </w:t>
      </w:r>
      <w:r w:rsidRPr="00B93B34">
        <w:t>fait qu</w:t>
      </w:r>
      <w:r w:rsidR="007E7C7C">
        <w:t>e la demande initiale ne portait que sur l’épaule gauche permet d’étendre la demande dans les conditions reprises à l’article 807 du Code judiciaire à d’autres pathologies reprises sous le code 1.606.22 qui vise les maladies tendineuses des membres supérieurs</w:t>
      </w:r>
      <w:r w:rsidRPr="00B93B34">
        <w:t>.</w:t>
      </w:r>
      <w:r w:rsidRPr="00B93B34">
        <w:rPr>
          <w:rStyle w:val="Appelnotedebasdep"/>
          <w:vertAlign w:val="superscript"/>
        </w:rPr>
        <w:footnoteReference w:id="10"/>
      </w:r>
    </w:p>
    <w:p w14:paraId="0E3076B3" w14:textId="77777777" w:rsidR="00B93B34" w:rsidRPr="00957817" w:rsidRDefault="00B93B34" w:rsidP="00957817">
      <w:pPr>
        <w:tabs>
          <w:tab w:val="left" w:pos="-1440"/>
        </w:tabs>
        <w:snapToGrid w:val="0"/>
        <w:jc w:val="both"/>
        <w:rPr>
          <w:rFonts w:cs="Times New Roman"/>
          <w:b/>
          <w:bCs/>
          <w:lang w:val="fr-FR"/>
        </w:rPr>
      </w:pPr>
    </w:p>
    <w:p w14:paraId="74466C71" w14:textId="77777777" w:rsidR="00DD6672" w:rsidRPr="00730873" w:rsidRDefault="00DD6672" w:rsidP="00844366">
      <w:pPr>
        <w:pStyle w:val="Paragraphedeliste"/>
        <w:numPr>
          <w:ilvl w:val="0"/>
          <w:numId w:val="15"/>
        </w:numPr>
        <w:tabs>
          <w:tab w:val="left" w:pos="-1440"/>
        </w:tabs>
        <w:snapToGrid w:val="0"/>
        <w:jc w:val="both"/>
        <w:rPr>
          <w:rFonts w:cs="Times New Roman"/>
          <w:b/>
          <w:bCs/>
          <w:lang w:val="fr-FR"/>
        </w:rPr>
      </w:pPr>
      <w:r w:rsidRPr="00B96FDB">
        <w:rPr>
          <w:rFonts w:cs="Times New Roman"/>
          <w:b/>
          <w:bCs/>
          <w:u w:val="single"/>
          <w:lang w:val="fr-FR"/>
        </w:rPr>
        <w:t>La charge de la p</w:t>
      </w:r>
      <w:r w:rsidRPr="008F000D">
        <w:rPr>
          <w:rFonts w:cs="Times New Roman"/>
          <w:b/>
          <w:bCs/>
          <w:u w:val="single"/>
          <w:lang w:val="fr-FR"/>
        </w:rPr>
        <w:t>reuve</w:t>
      </w:r>
      <w:r w:rsidRPr="00730873">
        <w:rPr>
          <w:rFonts w:cs="Times New Roman"/>
          <w:b/>
          <w:bCs/>
          <w:lang w:val="fr-FR"/>
        </w:rPr>
        <w:t> :</w:t>
      </w:r>
    </w:p>
    <w:p w14:paraId="4CBB2CD3" w14:textId="77777777" w:rsidR="00DD6672" w:rsidRDefault="00DD6672" w:rsidP="00DD6672">
      <w:pPr>
        <w:tabs>
          <w:tab w:val="left" w:pos="-1440"/>
        </w:tabs>
        <w:snapToGrid w:val="0"/>
        <w:jc w:val="both"/>
        <w:rPr>
          <w:rFonts w:cs="Times New Roman"/>
          <w:b/>
          <w:bCs/>
          <w:u w:val="single"/>
          <w:lang w:val="fr-FR"/>
        </w:rPr>
      </w:pPr>
    </w:p>
    <w:p w14:paraId="43B38B92" w14:textId="77777777" w:rsidR="00DD6672" w:rsidRPr="00DD6672" w:rsidRDefault="00DD6672" w:rsidP="00DD6672">
      <w:pPr>
        <w:tabs>
          <w:tab w:val="left" w:pos="-1440"/>
        </w:tabs>
        <w:snapToGrid w:val="0"/>
        <w:jc w:val="both"/>
        <w:rPr>
          <w:rFonts w:cs="Times New Roman"/>
        </w:rPr>
      </w:pPr>
      <w:r w:rsidRPr="00DD6672">
        <w:rPr>
          <w:rFonts w:eastAsia="Tahoma"/>
          <w:color w:val="000000"/>
          <w:spacing w:val="-1"/>
        </w:rPr>
        <w:t>E</w:t>
      </w:r>
      <w:r w:rsidRPr="00DD6672">
        <w:rPr>
          <w:rFonts w:cs="Times New Roman"/>
        </w:rPr>
        <w:t>n vertu de l’article 870 du Code judiciaire, chacune des parties a la charge de prouver les faits qu’elle allègue.</w:t>
      </w:r>
    </w:p>
    <w:p w14:paraId="59FE2F9D" w14:textId="77777777" w:rsidR="00DD6672" w:rsidRPr="00DD6672" w:rsidRDefault="00DD6672" w:rsidP="00DD6672">
      <w:pPr>
        <w:pStyle w:val="Paragraphedeliste"/>
        <w:tabs>
          <w:tab w:val="left" w:pos="-1440"/>
        </w:tabs>
        <w:snapToGrid w:val="0"/>
        <w:jc w:val="both"/>
        <w:rPr>
          <w:rFonts w:cs="Times New Roman"/>
        </w:rPr>
      </w:pPr>
    </w:p>
    <w:p w14:paraId="07757022" w14:textId="77777777" w:rsidR="00DD6672" w:rsidRDefault="00DD6672" w:rsidP="00DD6672">
      <w:pPr>
        <w:tabs>
          <w:tab w:val="left" w:pos="-1440"/>
        </w:tabs>
        <w:snapToGrid w:val="0"/>
        <w:rPr>
          <w:bCs/>
          <w:i/>
          <w:color w:val="000000"/>
        </w:rPr>
      </w:pPr>
      <w:r w:rsidRPr="00DD6672">
        <w:rPr>
          <w:rFonts w:cs="Times New Roman"/>
        </w:rPr>
        <w:t>Par ailleurs, aux termes de l’article 8.4 de la loi du 13 avril 2019, instaurant le livre VIII consacré à la charge de la preuve : « </w:t>
      </w:r>
      <w:r w:rsidRPr="00DD6672">
        <w:rPr>
          <w:bCs/>
          <w:i/>
          <w:color w:val="000000"/>
        </w:rPr>
        <w:t> Celui qui veut faire valoir une prétention en justice doit prouver les actes juridiques ou faits qui la fondent.</w:t>
      </w:r>
      <w:r w:rsidRPr="00DD6672">
        <w:rPr>
          <w:bCs/>
          <w:i/>
          <w:color w:val="000000"/>
        </w:rPr>
        <w:br/>
        <w:t>  Celui qui se prétend libéré doit prouver les actes juridiques ou faits qui soutiennent sa prétention.</w:t>
      </w:r>
      <w:r w:rsidRPr="00DD6672">
        <w:rPr>
          <w:bCs/>
          <w:i/>
          <w:color w:val="000000"/>
        </w:rPr>
        <w:br/>
        <w:t>  Toutes les parties doivent collaborer à l'administration de la preuve</w:t>
      </w:r>
      <w:r w:rsidR="008F000D">
        <w:rPr>
          <w:bCs/>
          <w:i/>
          <w:color w:val="000000"/>
        </w:rPr>
        <w:t xml:space="preserve"> (…).</w:t>
      </w:r>
      <w:r w:rsidRPr="00DD6672">
        <w:rPr>
          <w:bCs/>
          <w:i/>
          <w:color w:val="000000"/>
        </w:rPr>
        <w:t> »</w:t>
      </w:r>
    </w:p>
    <w:p w14:paraId="3F5B7083" w14:textId="77777777" w:rsidR="00DD6672" w:rsidRDefault="00DD6672" w:rsidP="00DD6672">
      <w:pPr>
        <w:tabs>
          <w:tab w:val="left" w:pos="-1440"/>
        </w:tabs>
        <w:snapToGrid w:val="0"/>
        <w:rPr>
          <w:bCs/>
          <w:i/>
          <w:color w:val="000000"/>
        </w:rPr>
      </w:pPr>
    </w:p>
    <w:p w14:paraId="31F83938" w14:textId="77777777" w:rsidR="00D90372" w:rsidRPr="002409B2" w:rsidRDefault="00D90372" w:rsidP="00D90372">
      <w:pPr>
        <w:tabs>
          <w:tab w:val="left" w:pos="1985"/>
        </w:tabs>
        <w:jc w:val="both"/>
        <w:rPr>
          <w:rFonts w:cs="Times New Roman"/>
        </w:rPr>
      </w:pPr>
      <w:r>
        <w:rPr>
          <w:rFonts w:cs="Times New Roman"/>
        </w:rPr>
        <w:t>Aussi, la Cour du travail de Liège a décidé</w:t>
      </w:r>
      <w:r w:rsidRPr="002409B2">
        <w:rPr>
          <w:rStyle w:val="Appelnotedebasdep"/>
          <w:rFonts w:cs="Times New Roman"/>
          <w:vertAlign w:val="superscript"/>
        </w:rPr>
        <w:footnoteReference w:id="11"/>
      </w:r>
      <w:r>
        <w:rPr>
          <w:rFonts w:cs="Times New Roman"/>
        </w:rPr>
        <w:t xml:space="preserve"> que « </w:t>
      </w:r>
      <w:r>
        <w:rPr>
          <w:rFonts w:cs="Times New Roman"/>
          <w:i/>
        </w:rPr>
        <w:t>Certes, M.V. ne dépose pas une étude épidémiologique indiscutable dont il ressort que l’exposition au risque qu’il a subie est en rapport avec sa pathologie.  La Cour a déjà eu l’occasion de souligner l’asymétrie dans les savoir</w:t>
      </w:r>
      <w:r w:rsidR="009A5D33">
        <w:rPr>
          <w:rFonts w:cs="Times New Roman"/>
          <w:i/>
        </w:rPr>
        <w:t>s</w:t>
      </w:r>
      <w:r>
        <w:rPr>
          <w:rFonts w:cs="Times New Roman"/>
          <w:i/>
        </w:rPr>
        <w:t xml:space="preserve"> et dans les ressources entre </w:t>
      </w:r>
      <w:proofErr w:type="spellStart"/>
      <w:r>
        <w:rPr>
          <w:rFonts w:cs="Times New Roman"/>
          <w:i/>
        </w:rPr>
        <w:t>Fedris</w:t>
      </w:r>
      <w:proofErr w:type="spellEnd"/>
      <w:r>
        <w:rPr>
          <w:rFonts w:cs="Times New Roman"/>
          <w:i/>
        </w:rPr>
        <w:t xml:space="preserve"> et les assurés sociaux.  Si </w:t>
      </w:r>
      <w:proofErr w:type="spellStart"/>
      <w:r>
        <w:rPr>
          <w:rFonts w:cs="Times New Roman"/>
          <w:i/>
        </w:rPr>
        <w:t>Fedris</w:t>
      </w:r>
      <w:proofErr w:type="spellEnd"/>
      <w:r>
        <w:rPr>
          <w:rFonts w:cs="Times New Roman"/>
          <w:i/>
        </w:rPr>
        <w:t xml:space="preserve"> compte dans ses rangs des médecins et des ingénieurs spécialisés qui ont accès à la littérature médicale et technique spécialisée dans le domaine des maladies professionnelles, les assurés sociaux sont en difficulté objective lorsqu’il s’agit d’apporter des éléments pertinents de nature à établir une exposition au risque.  C’est pour ce motif que, dans la matière des maladies professionnelles, le recours à l’expertise est un mode de preuve particulièrement adapté chaque fois qu’une contestation </w:t>
      </w:r>
      <w:r>
        <w:rPr>
          <w:rFonts w:cs="Times New Roman"/>
          <w:i/>
        </w:rPr>
        <w:lastRenderedPageBreak/>
        <w:t>raisonnable est portée devant le juge. »</w:t>
      </w:r>
    </w:p>
    <w:p w14:paraId="1AB7D4D7" w14:textId="77777777" w:rsidR="00D90372" w:rsidRDefault="00D90372" w:rsidP="00D90372">
      <w:pPr>
        <w:tabs>
          <w:tab w:val="left" w:pos="1985"/>
        </w:tabs>
        <w:jc w:val="both"/>
        <w:rPr>
          <w:rFonts w:cs="Times New Roman"/>
          <w:b/>
        </w:rPr>
      </w:pPr>
    </w:p>
    <w:p w14:paraId="196CF820" w14:textId="77777777" w:rsidR="008F000D" w:rsidRPr="008845D8" w:rsidRDefault="008F000D" w:rsidP="00D90372">
      <w:pPr>
        <w:tabs>
          <w:tab w:val="left" w:pos="1985"/>
        </w:tabs>
        <w:jc w:val="both"/>
        <w:rPr>
          <w:rFonts w:cs="Times New Roman"/>
          <w:b/>
        </w:rPr>
      </w:pPr>
    </w:p>
    <w:p w14:paraId="0477AA10" w14:textId="77777777" w:rsidR="00302E61" w:rsidRPr="008845D8" w:rsidRDefault="00302E61" w:rsidP="00335DF0">
      <w:pPr>
        <w:pStyle w:val="Paragraphedeliste"/>
        <w:numPr>
          <w:ilvl w:val="0"/>
          <w:numId w:val="15"/>
        </w:numPr>
        <w:tabs>
          <w:tab w:val="left" w:pos="-1440"/>
        </w:tabs>
        <w:snapToGrid w:val="0"/>
        <w:jc w:val="both"/>
        <w:rPr>
          <w:rFonts w:cs="Times New Roman"/>
          <w:b/>
          <w:lang w:val="fr-FR"/>
        </w:rPr>
      </w:pPr>
      <w:r w:rsidRPr="008845D8">
        <w:rPr>
          <w:rFonts w:cs="Times New Roman"/>
          <w:b/>
          <w:bCs/>
          <w:u w:val="single"/>
          <w:lang w:val="fr-FR"/>
        </w:rPr>
        <w:t>Quant à la maladie professionnelle en système hors liste -s</w:t>
      </w:r>
      <w:r w:rsidRPr="008845D8">
        <w:rPr>
          <w:rFonts w:cs="Times New Roman"/>
          <w:b/>
          <w:u w:val="single"/>
          <w:lang w:val="fr-FR"/>
        </w:rPr>
        <w:t>ystème ouvert</w:t>
      </w:r>
      <w:r w:rsidRPr="008845D8">
        <w:rPr>
          <w:rFonts w:cs="Times New Roman"/>
          <w:b/>
          <w:lang w:val="fr-FR"/>
        </w:rPr>
        <w:t xml:space="preserve"> : </w:t>
      </w:r>
    </w:p>
    <w:p w14:paraId="7DC3D165" w14:textId="77777777" w:rsidR="00302E61" w:rsidRPr="00476165" w:rsidRDefault="00302E61" w:rsidP="00302E61">
      <w:pPr>
        <w:tabs>
          <w:tab w:val="left" w:pos="-1440"/>
        </w:tabs>
        <w:snapToGrid w:val="0"/>
        <w:jc w:val="both"/>
        <w:rPr>
          <w:rFonts w:cs="Times New Roman"/>
          <w:lang w:val="fr-FR"/>
        </w:rPr>
      </w:pPr>
    </w:p>
    <w:p w14:paraId="5C4508A0" w14:textId="77777777" w:rsidR="00335DF0" w:rsidRDefault="00335DF0" w:rsidP="00302E61">
      <w:pPr>
        <w:tabs>
          <w:tab w:val="left" w:pos="-1440"/>
        </w:tabs>
        <w:snapToGrid w:val="0"/>
        <w:jc w:val="both"/>
        <w:rPr>
          <w:rFonts w:cs="Times New Roman"/>
          <w:lang w:val="fr-FR"/>
        </w:rPr>
      </w:pPr>
    </w:p>
    <w:p w14:paraId="5F68C28E" w14:textId="77777777" w:rsidR="00302E61" w:rsidRPr="00476165" w:rsidRDefault="00302E61" w:rsidP="00302E61">
      <w:pPr>
        <w:tabs>
          <w:tab w:val="left" w:pos="-1440"/>
        </w:tabs>
        <w:snapToGrid w:val="0"/>
        <w:jc w:val="both"/>
        <w:rPr>
          <w:rFonts w:cs="Times New Roman"/>
          <w:i/>
          <w:iCs/>
          <w:lang w:val="fr-FR"/>
        </w:rPr>
      </w:pPr>
      <w:r w:rsidRPr="00476165">
        <w:rPr>
          <w:rFonts w:cs="Times New Roman"/>
          <w:lang w:val="fr-FR"/>
        </w:rPr>
        <w:t xml:space="preserve">L’article 30 bis des lois relatives à la prévention des maladies professionnelles et à la réparation des dommages résultant de celles-ci, coordonnées le 3 juin 1970, énonce que : </w:t>
      </w:r>
      <w:r w:rsidRPr="00476165">
        <w:rPr>
          <w:rFonts w:cs="Times New Roman"/>
          <w:i/>
          <w:iCs/>
          <w:lang w:val="fr-FR"/>
        </w:rPr>
        <w:t>«  Donne également lieu à réparation dans les conditions fixées par le Roi, la maladie qui, tout en ne figurant pas sur la liste visée à l'article 30 des présentes lois, trouve sa cause déterminante et directe dans l'exercice de la profession. La preuve du lien de causalité entre la maladie et l'exposition au risque professionnel de cette maladie est à charge de la victime ou de ses ayants droit ».</w:t>
      </w:r>
    </w:p>
    <w:p w14:paraId="50FCB905" w14:textId="77777777" w:rsidR="00335DF0" w:rsidRDefault="00335DF0" w:rsidP="00302E61">
      <w:pPr>
        <w:tabs>
          <w:tab w:val="left" w:pos="-1440"/>
        </w:tabs>
        <w:snapToGrid w:val="0"/>
        <w:jc w:val="both"/>
        <w:rPr>
          <w:rFonts w:cs="Times New Roman"/>
          <w:lang w:val="fr-FR"/>
        </w:rPr>
      </w:pPr>
    </w:p>
    <w:p w14:paraId="0A52E330" w14:textId="77777777" w:rsidR="00335DF0" w:rsidRDefault="00335DF0" w:rsidP="00302E61">
      <w:pPr>
        <w:tabs>
          <w:tab w:val="left" w:pos="-1440"/>
        </w:tabs>
        <w:snapToGrid w:val="0"/>
        <w:jc w:val="both"/>
        <w:rPr>
          <w:rFonts w:cs="Times New Roman"/>
          <w:lang w:val="fr-FR"/>
        </w:rPr>
      </w:pPr>
    </w:p>
    <w:p w14:paraId="28E27145"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 xml:space="preserve">En conséquence, dans le système dit ouvert de l’article 30 bis de la loi du 3 juin 1970, il appartient à la victime d’établir : </w:t>
      </w:r>
    </w:p>
    <w:p w14:paraId="12202CD3" w14:textId="77777777" w:rsidR="00302E61" w:rsidRPr="00476165" w:rsidRDefault="00302E61" w:rsidP="00302E61">
      <w:pPr>
        <w:tabs>
          <w:tab w:val="left" w:pos="-1440"/>
        </w:tabs>
        <w:snapToGrid w:val="0"/>
        <w:jc w:val="both"/>
        <w:rPr>
          <w:rFonts w:cs="Times New Roman"/>
          <w:lang w:val="fr-FR"/>
        </w:rPr>
      </w:pPr>
    </w:p>
    <w:p w14:paraId="77645C70" w14:textId="77777777" w:rsidR="00302E61" w:rsidRPr="00476165" w:rsidRDefault="00302E61" w:rsidP="00302E61">
      <w:pPr>
        <w:numPr>
          <w:ilvl w:val="0"/>
          <w:numId w:val="2"/>
        </w:numPr>
        <w:tabs>
          <w:tab w:val="left" w:pos="-1440"/>
        </w:tabs>
        <w:snapToGrid w:val="0"/>
        <w:jc w:val="both"/>
        <w:rPr>
          <w:rFonts w:cs="Times New Roman"/>
          <w:lang w:val="fr-FR"/>
        </w:rPr>
      </w:pPr>
      <w:r w:rsidRPr="00476165">
        <w:rPr>
          <w:rFonts w:cs="Times New Roman"/>
          <w:lang w:val="fr-FR"/>
        </w:rPr>
        <w:t>L’existence de la maladie invoquée,</w:t>
      </w:r>
    </w:p>
    <w:p w14:paraId="603B20F5" w14:textId="77777777" w:rsidR="00302E61" w:rsidRPr="00476165" w:rsidRDefault="00302E61" w:rsidP="00302E61">
      <w:pPr>
        <w:numPr>
          <w:ilvl w:val="0"/>
          <w:numId w:val="2"/>
        </w:numPr>
        <w:tabs>
          <w:tab w:val="left" w:pos="-1440"/>
        </w:tabs>
        <w:snapToGrid w:val="0"/>
        <w:jc w:val="both"/>
        <w:rPr>
          <w:rFonts w:cs="Times New Roman"/>
          <w:lang w:val="fr-FR"/>
        </w:rPr>
      </w:pPr>
      <w:r w:rsidRPr="00476165">
        <w:rPr>
          <w:rFonts w:cs="Times New Roman"/>
          <w:lang w:val="fr-FR"/>
        </w:rPr>
        <w:t>l’exposition au risque de cette maladie,</w:t>
      </w:r>
    </w:p>
    <w:p w14:paraId="576C42F9" w14:textId="77777777" w:rsidR="00302E61" w:rsidRPr="00A5128C" w:rsidRDefault="00302E61" w:rsidP="00493AAA">
      <w:pPr>
        <w:numPr>
          <w:ilvl w:val="0"/>
          <w:numId w:val="2"/>
        </w:numPr>
        <w:tabs>
          <w:tab w:val="left" w:pos="-1440"/>
        </w:tabs>
        <w:snapToGrid w:val="0"/>
        <w:ind w:left="1418"/>
        <w:jc w:val="both"/>
        <w:rPr>
          <w:rFonts w:cs="Times New Roman"/>
          <w:u w:val="single"/>
          <w:lang w:val="fr-FR"/>
        </w:rPr>
      </w:pPr>
      <w:r w:rsidRPr="00A5128C">
        <w:rPr>
          <w:rFonts w:cs="Times New Roman"/>
          <w:lang w:val="fr-FR"/>
        </w:rPr>
        <w:t xml:space="preserve">le lien de causalité direct et déterminant entre </w:t>
      </w:r>
      <w:r w:rsidRPr="00A5128C">
        <w:rPr>
          <w:rFonts w:cs="Times New Roman"/>
          <w:u w:val="single"/>
          <w:lang w:val="fr-FR"/>
        </w:rPr>
        <w:t>les professions exercées et la maladie invoquée.</w:t>
      </w:r>
    </w:p>
    <w:p w14:paraId="6F5240D7"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 </w:t>
      </w:r>
    </w:p>
    <w:p w14:paraId="418E7802"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 xml:space="preserve">Il s’agit d’éléments distincts. </w:t>
      </w:r>
    </w:p>
    <w:p w14:paraId="119EC0F7" w14:textId="77777777" w:rsidR="00302E61" w:rsidRDefault="00302E61" w:rsidP="00302E61">
      <w:pPr>
        <w:tabs>
          <w:tab w:val="left" w:pos="-1440"/>
        </w:tabs>
        <w:snapToGrid w:val="0"/>
        <w:jc w:val="both"/>
        <w:rPr>
          <w:rFonts w:cs="Times New Roman"/>
          <w:lang w:val="fr-FR"/>
        </w:rPr>
      </w:pPr>
    </w:p>
    <w:p w14:paraId="125D8E36" w14:textId="77777777" w:rsidR="0005449F" w:rsidRPr="008845D8" w:rsidRDefault="0005449F" w:rsidP="00DD6672">
      <w:pPr>
        <w:pStyle w:val="Paragraphedeliste"/>
        <w:numPr>
          <w:ilvl w:val="0"/>
          <w:numId w:val="20"/>
        </w:numPr>
        <w:tabs>
          <w:tab w:val="left" w:pos="-1440"/>
        </w:tabs>
        <w:snapToGrid w:val="0"/>
        <w:jc w:val="both"/>
        <w:rPr>
          <w:rFonts w:cs="Times New Roman"/>
          <w:b/>
          <w:lang w:val="fr-FR"/>
        </w:rPr>
      </w:pPr>
      <w:r w:rsidRPr="008845D8">
        <w:rPr>
          <w:rFonts w:cs="Times New Roman"/>
          <w:b/>
          <w:lang w:val="fr-FR"/>
        </w:rPr>
        <w:t>L’existence de la maladie revendiquée.</w:t>
      </w:r>
    </w:p>
    <w:p w14:paraId="2A257639" w14:textId="77777777" w:rsidR="0005449F" w:rsidRDefault="0005449F" w:rsidP="0005449F">
      <w:pPr>
        <w:tabs>
          <w:tab w:val="left" w:pos="-1440"/>
        </w:tabs>
        <w:snapToGrid w:val="0"/>
        <w:jc w:val="both"/>
        <w:rPr>
          <w:rFonts w:cs="Times New Roman"/>
          <w:lang w:val="fr-FR"/>
        </w:rPr>
      </w:pPr>
    </w:p>
    <w:p w14:paraId="7A3542EB" w14:textId="77777777" w:rsidR="00855B27" w:rsidRDefault="00855B27" w:rsidP="0005449F">
      <w:pPr>
        <w:tabs>
          <w:tab w:val="left" w:pos="-1440"/>
        </w:tabs>
        <w:snapToGrid w:val="0"/>
        <w:jc w:val="both"/>
        <w:rPr>
          <w:rFonts w:cs="Times New Roman"/>
          <w:lang w:val="fr-FR"/>
        </w:rPr>
      </w:pPr>
      <w:r>
        <w:rPr>
          <w:rFonts w:cs="Times New Roman"/>
          <w:lang w:val="fr-FR"/>
        </w:rPr>
        <w:t xml:space="preserve">La partie demanderesse annexe à la pièce </w:t>
      </w:r>
      <w:r w:rsidR="008F000D">
        <w:rPr>
          <w:rFonts w:cs="Times New Roman"/>
          <w:lang w:val="fr-FR"/>
        </w:rPr>
        <w:t>3 bis</w:t>
      </w:r>
      <w:r>
        <w:rPr>
          <w:rFonts w:cs="Times New Roman"/>
          <w:lang w:val="fr-FR"/>
        </w:rPr>
        <w:t xml:space="preserve"> de son dossier les résultats d’examens médicaux pratiqués lesquels font</w:t>
      </w:r>
      <w:r w:rsidR="008F000D">
        <w:rPr>
          <w:rFonts w:cs="Times New Roman"/>
          <w:lang w:val="fr-FR"/>
        </w:rPr>
        <w:t>, notamment,</w:t>
      </w:r>
      <w:r>
        <w:rPr>
          <w:rFonts w:cs="Times New Roman"/>
          <w:lang w:val="fr-FR"/>
        </w:rPr>
        <w:t xml:space="preserve"> état </w:t>
      </w:r>
      <w:r w:rsidR="008F000D">
        <w:rPr>
          <w:rFonts w:cs="Times New Roman"/>
          <w:lang w:val="fr-FR"/>
        </w:rPr>
        <w:t>d’arthrose radio-carpienne et de rhizarthrose.</w:t>
      </w:r>
    </w:p>
    <w:p w14:paraId="685525E2" w14:textId="77777777" w:rsidR="00D90372" w:rsidRDefault="008845D8" w:rsidP="008845D8">
      <w:pPr>
        <w:tabs>
          <w:tab w:val="left" w:pos="-1440"/>
          <w:tab w:val="left" w:pos="6180"/>
        </w:tabs>
        <w:snapToGrid w:val="0"/>
        <w:jc w:val="both"/>
        <w:rPr>
          <w:rFonts w:cs="Times New Roman"/>
          <w:lang w:val="fr-FR"/>
        </w:rPr>
      </w:pPr>
      <w:r>
        <w:rPr>
          <w:rFonts w:cs="Times New Roman"/>
          <w:lang w:val="fr-FR"/>
        </w:rPr>
        <w:tab/>
      </w:r>
    </w:p>
    <w:p w14:paraId="259B3A53" w14:textId="77777777" w:rsidR="00DD6672" w:rsidRPr="008845D8" w:rsidRDefault="00DD6672" w:rsidP="00DD6672">
      <w:pPr>
        <w:pStyle w:val="Paragraphedeliste"/>
        <w:numPr>
          <w:ilvl w:val="0"/>
          <w:numId w:val="20"/>
        </w:numPr>
        <w:tabs>
          <w:tab w:val="left" w:pos="-1440"/>
        </w:tabs>
        <w:snapToGrid w:val="0"/>
        <w:jc w:val="both"/>
        <w:rPr>
          <w:rFonts w:cs="Times New Roman"/>
          <w:b/>
          <w:lang w:val="fr-FR"/>
        </w:rPr>
      </w:pPr>
      <w:r w:rsidRPr="008845D8">
        <w:rPr>
          <w:rFonts w:cs="Times New Roman"/>
          <w:b/>
          <w:lang w:val="fr-FR"/>
        </w:rPr>
        <w:t>L’exposition.</w:t>
      </w:r>
    </w:p>
    <w:p w14:paraId="4F195938" w14:textId="77777777" w:rsidR="00DD6672" w:rsidRDefault="00DD6672" w:rsidP="00DD6672">
      <w:pPr>
        <w:tabs>
          <w:tab w:val="left" w:pos="-1440"/>
        </w:tabs>
        <w:snapToGrid w:val="0"/>
        <w:jc w:val="both"/>
        <w:rPr>
          <w:rFonts w:cs="Times New Roman"/>
          <w:lang w:val="fr-FR"/>
        </w:rPr>
      </w:pPr>
    </w:p>
    <w:p w14:paraId="1A8095BC" w14:textId="77777777" w:rsidR="008E0B07" w:rsidRDefault="008E0B07" w:rsidP="008E0B07">
      <w:pPr>
        <w:tabs>
          <w:tab w:val="left" w:pos="-1440"/>
        </w:tabs>
        <w:snapToGrid w:val="0"/>
        <w:jc w:val="both"/>
        <w:rPr>
          <w:rFonts w:cs="Times New Roman"/>
          <w:lang w:val="fr-FR"/>
        </w:rPr>
      </w:pPr>
      <w:r>
        <w:rPr>
          <w:rFonts w:cs="Times New Roman"/>
          <w:lang w:val="fr-FR"/>
        </w:rPr>
        <w:t xml:space="preserve">1. </w:t>
      </w:r>
      <w:r w:rsidRPr="00901E6D">
        <w:rPr>
          <w:rFonts w:cs="Times New Roman"/>
          <w:lang w:val="fr-FR"/>
        </w:rPr>
        <w:t>La contestation entre les parties concerne</w:t>
      </w:r>
      <w:r>
        <w:rPr>
          <w:rFonts w:cs="Times New Roman"/>
          <w:lang w:val="fr-FR"/>
        </w:rPr>
        <w:t>, notamment,</w:t>
      </w:r>
      <w:r w:rsidRPr="00901E6D">
        <w:rPr>
          <w:rFonts w:cs="Times New Roman"/>
          <w:lang w:val="fr-FR"/>
        </w:rPr>
        <w:t xml:space="preserve"> l’exposition au risque professionnel de la maladie. </w:t>
      </w:r>
    </w:p>
    <w:p w14:paraId="51FCFF59" w14:textId="77777777" w:rsidR="00335DF0" w:rsidRDefault="00335DF0" w:rsidP="008E0B07">
      <w:pPr>
        <w:tabs>
          <w:tab w:val="left" w:pos="-1440"/>
        </w:tabs>
        <w:snapToGrid w:val="0"/>
        <w:jc w:val="both"/>
        <w:rPr>
          <w:rFonts w:cs="Times New Roman"/>
          <w:lang w:val="fr-FR"/>
        </w:rPr>
      </w:pPr>
    </w:p>
    <w:p w14:paraId="71DCE00E" w14:textId="77777777" w:rsidR="008E0B07" w:rsidRPr="00901E6D" w:rsidRDefault="008E0B07" w:rsidP="008E0B07">
      <w:pPr>
        <w:tabs>
          <w:tab w:val="left" w:pos="-1440"/>
        </w:tabs>
        <w:snapToGrid w:val="0"/>
        <w:jc w:val="both"/>
        <w:rPr>
          <w:rFonts w:cs="Times New Roman"/>
          <w:lang w:val="fr-FR"/>
        </w:rPr>
      </w:pPr>
      <w:r w:rsidRPr="00901E6D">
        <w:rPr>
          <w:rFonts w:cs="Times New Roman"/>
          <w:lang w:val="fr-FR"/>
        </w:rPr>
        <w:t>La preuve de l’existence de cette condition  s’explique par le fait que certaines maladies reprise</w:t>
      </w:r>
      <w:r>
        <w:rPr>
          <w:rFonts w:cs="Times New Roman"/>
          <w:lang w:val="fr-FR"/>
        </w:rPr>
        <w:t>s</w:t>
      </w:r>
      <w:r w:rsidRPr="00901E6D">
        <w:rPr>
          <w:rFonts w:cs="Times New Roman"/>
          <w:lang w:val="fr-FR"/>
        </w:rPr>
        <w:t xml:space="preserve"> dans la liste des maladies professionnelles peuvent apparaître dans des situations aussi bien privées que professionnelles.</w:t>
      </w:r>
      <w:r w:rsidRPr="00901E6D">
        <w:rPr>
          <w:rFonts w:cs="Times New Roman"/>
          <w:vertAlign w:val="superscript"/>
          <w:lang w:val="fr-FR"/>
        </w:rPr>
        <w:footnoteReference w:id="12"/>
      </w:r>
      <w:r w:rsidRPr="00901E6D">
        <w:rPr>
          <w:rFonts w:cs="Times New Roman"/>
          <w:lang w:val="fr-FR"/>
        </w:rPr>
        <w:t xml:space="preserve">  </w:t>
      </w:r>
    </w:p>
    <w:p w14:paraId="418C7A6A" w14:textId="77777777" w:rsidR="008E0B07" w:rsidRPr="00901E6D" w:rsidRDefault="008E0B07" w:rsidP="008E0B07">
      <w:pPr>
        <w:tabs>
          <w:tab w:val="left" w:pos="-1440"/>
        </w:tabs>
        <w:snapToGrid w:val="0"/>
        <w:jc w:val="both"/>
        <w:rPr>
          <w:rFonts w:cs="Times New Roman"/>
          <w:lang w:val="fr-FR"/>
        </w:rPr>
      </w:pPr>
    </w:p>
    <w:p w14:paraId="4540FBC4" w14:textId="77777777" w:rsidR="008E0B07" w:rsidRPr="007B1E4C" w:rsidRDefault="008E0B07" w:rsidP="008E0B07">
      <w:pPr>
        <w:tabs>
          <w:tab w:val="left" w:pos="-1440"/>
        </w:tabs>
        <w:snapToGrid w:val="0"/>
        <w:jc w:val="both"/>
        <w:rPr>
          <w:rFonts w:cs="Times New Roman"/>
          <w:vertAlign w:val="superscript"/>
          <w:lang w:val="fr-FR"/>
        </w:rPr>
      </w:pPr>
      <w:r>
        <w:rPr>
          <w:rFonts w:cs="Times New Roman"/>
          <w:lang w:val="fr-FR"/>
        </w:rPr>
        <w:t>Aussi, il s’impose « </w:t>
      </w:r>
      <w:r>
        <w:rPr>
          <w:rFonts w:cs="Times New Roman"/>
          <w:i/>
          <w:lang w:val="fr-FR"/>
        </w:rPr>
        <w:t>de s’assurer au préalable que l’exposition à tel ou tel risque de maladie est nettement plus grande que celle subie par la population en général pour lui conférer un caractère professionnel, encore faut-il bien évidemment vérifier si, dans la réalité des faits, l’assuré social qui prétend au bénéfice des réparations légales a été exposé personnellement au risque défini par le code correspondant dans la liste. » </w:t>
      </w:r>
      <w:r w:rsidRPr="007B1E4C">
        <w:rPr>
          <w:rStyle w:val="Appelnotedebasdep"/>
          <w:rFonts w:cs="Times New Roman"/>
          <w:i/>
          <w:vertAlign w:val="superscript"/>
          <w:lang w:val="fr-FR"/>
        </w:rPr>
        <w:footnoteReference w:id="13"/>
      </w:r>
    </w:p>
    <w:p w14:paraId="69075E13" w14:textId="77777777" w:rsidR="008E0B07" w:rsidRDefault="008E0B07" w:rsidP="008E0B07">
      <w:pPr>
        <w:tabs>
          <w:tab w:val="left" w:pos="-1440"/>
        </w:tabs>
        <w:snapToGrid w:val="0"/>
        <w:jc w:val="both"/>
        <w:rPr>
          <w:rFonts w:cs="Times New Roman"/>
          <w:lang w:val="fr-FR"/>
        </w:rPr>
      </w:pPr>
    </w:p>
    <w:p w14:paraId="5AB0F0DE" w14:textId="77777777" w:rsidR="008E0B07" w:rsidRPr="00901E6D" w:rsidRDefault="008E0B07" w:rsidP="008E0B07">
      <w:pPr>
        <w:tabs>
          <w:tab w:val="left" w:pos="-1440"/>
        </w:tabs>
        <w:snapToGrid w:val="0"/>
        <w:jc w:val="both"/>
        <w:rPr>
          <w:rFonts w:cs="Times New Roman"/>
          <w:lang w:val="fr-FR"/>
        </w:rPr>
      </w:pPr>
      <w:r>
        <w:rPr>
          <w:rFonts w:cs="Times New Roman"/>
          <w:lang w:val="fr-FR"/>
        </w:rPr>
        <w:t>A cet effet, l</w:t>
      </w:r>
      <w:r w:rsidRPr="00901E6D">
        <w:rPr>
          <w:rFonts w:cs="Times New Roman"/>
          <w:lang w:val="fr-FR"/>
        </w:rPr>
        <w:t>’article 32 alinéa 2 de la loi relative à la réparation des dommages résultant des maladies professionnelles, coordonnée le 3 juin 1970 donne une définition générale de l’exposition au risque.</w:t>
      </w:r>
    </w:p>
    <w:p w14:paraId="5115590D" w14:textId="77777777" w:rsidR="008E0B07" w:rsidRPr="00901E6D" w:rsidRDefault="008E0B07" w:rsidP="008E0B07">
      <w:pPr>
        <w:tabs>
          <w:tab w:val="left" w:pos="-1440"/>
        </w:tabs>
        <w:snapToGrid w:val="0"/>
        <w:jc w:val="both"/>
        <w:rPr>
          <w:rFonts w:cs="Times New Roman"/>
          <w:lang w:val="fr-FR"/>
        </w:rPr>
      </w:pPr>
    </w:p>
    <w:p w14:paraId="3B0630D9" w14:textId="77777777" w:rsidR="008E0B07" w:rsidRPr="00901E6D" w:rsidRDefault="008E0B07" w:rsidP="008E0B07">
      <w:pPr>
        <w:tabs>
          <w:tab w:val="left" w:pos="-1440"/>
        </w:tabs>
        <w:snapToGrid w:val="0"/>
        <w:jc w:val="both"/>
        <w:rPr>
          <w:rFonts w:cs="Times New Roman"/>
          <w:i/>
          <w:lang w:val="fr-FR"/>
        </w:rPr>
      </w:pPr>
      <w:r>
        <w:rPr>
          <w:rFonts w:cs="Times New Roman"/>
          <w:lang w:val="fr-FR"/>
        </w:rPr>
        <w:t xml:space="preserve">Il </w:t>
      </w:r>
      <w:r w:rsidRPr="00901E6D">
        <w:rPr>
          <w:rFonts w:cs="Times New Roman"/>
          <w:lang w:val="fr-FR"/>
        </w:rPr>
        <w:t>dispose que : « </w:t>
      </w:r>
      <w:r w:rsidRPr="00901E6D">
        <w:rPr>
          <w:rFonts w:cs="Times New Roman"/>
          <w:i/>
          <w:lang w:val="fr-FR"/>
        </w:rPr>
        <w:t>Il y a risque professionnel lorsque l’exposition à l’influence nocive est inhérente à l’exercice de la profession et est nettement plus grande que celle subie par la population en général, et que cette exposition, selon les connaissances médicales généralement admises, est de nature à provoquer la maladie. »</w:t>
      </w:r>
      <w:r w:rsidRPr="00901E6D">
        <w:rPr>
          <w:rFonts w:cs="Times New Roman"/>
          <w:i/>
          <w:vertAlign w:val="superscript"/>
          <w:lang w:val="fr-FR"/>
        </w:rPr>
        <w:footnoteReference w:id="14"/>
      </w:r>
    </w:p>
    <w:p w14:paraId="778CC899" w14:textId="77777777" w:rsidR="008E0B07" w:rsidRDefault="008E0B07" w:rsidP="008E0B07">
      <w:pPr>
        <w:tabs>
          <w:tab w:val="left" w:pos="-1440"/>
        </w:tabs>
        <w:snapToGrid w:val="0"/>
        <w:jc w:val="both"/>
        <w:rPr>
          <w:rFonts w:cs="Times New Roman"/>
          <w:lang w:val="fr-FR"/>
        </w:rPr>
      </w:pPr>
      <w:r w:rsidRPr="00901E6D">
        <w:rPr>
          <w:rFonts w:cs="Times New Roman"/>
          <w:lang w:val="fr-FR"/>
        </w:rPr>
        <w:t xml:space="preserve"> </w:t>
      </w:r>
    </w:p>
    <w:p w14:paraId="6EF898A1" w14:textId="77777777" w:rsidR="00D90372" w:rsidRPr="00D90372" w:rsidRDefault="00D90372" w:rsidP="00D90372">
      <w:pPr>
        <w:tabs>
          <w:tab w:val="left" w:pos="-1440"/>
        </w:tabs>
        <w:snapToGrid w:val="0"/>
        <w:jc w:val="both"/>
        <w:rPr>
          <w:rFonts w:cs="Times New Roman"/>
          <w:vertAlign w:val="superscript"/>
          <w:lang w:val="fr-FR"/>
        </w:rPr>
      </w:pPr>
      <w:r>
        <w:rPr>
          <w:rFonts w:cs="Times New Roman"/>
          <w:lang w:val="fr-FR"/>
        </w:rPr>
        <w:t xml:space="preserve">Ainsi, </w:t>
      </w:r>
      <w:r w:rsidRPr="00662527">
        <w:rPr>
          <w:rFonts w:cs="Times New Roman"/>
          <w:lang w:val="fr-FR"/>
        </w:rPr>
        <w:t>« </w:t>
      </w:r>
      <w:r w:rsidRPr="00662527">
        <w:rPr>
          <w:rFonts w:cs="Times New Roman"/>
          <w:i/>
          <w:lang w:val="fr-FR"/>
        </w:rPr>
        <w:t>la cause prépondérante au sens de l’article 32, alinéa 2, des lois coordonnées du 3 juin 1970 doit s’entendre d’une corrélation positive plausible suffisamment forte entre l’exposition au risque professionnel et la survenance de la maladie professionnelle, étant entendu que l’appréciation du seuil d’importance requis relève in fine de l’appréciation du juge. »</w:t>
      </w:r>
      <w:r w:rsidRPr="00D90372">
        <w:rPr>
          <w:rFonts w:cs="Times New Roman"/>
          <w:vertAlign w:val="superscript"/>
          <w:lang w:val="fr-FR"/>
        </w:rPr>
        <w:footnoteReference w:id="15"/>
      </w:r>
    </w:p>
    <w:p w14:paraId="52044CDA" w14:textId="77777777" w:rsidR="00D90372" w:rsidRDefault="00D90372" w:rsidP="008E0B07">
      <w:pPr>
        <w:tabs>
          <w:tab w:val="left" w:pos="-1440"/>
        </w:tabs>
        <w:snapToGrid w:val="0"/>
        <w:jc w:val="both"/>
        <w:rPr>
          <w:rFonts w:cs="Times New Roman"/>
          <w:lang w:val="fr-FR"/>
        </w:rPr>
      </w:pPr>
    </w:p>
    <w:p w14:paraId="0A05247C" w14:textId="77777777" w:rsidR="008E0B07" w:rsidRDefault="008E0B07" w:rsidP="008E0B07">
      <w:pPr>
        <w:tabs>
          <w:tab w:val="left" w:pos="-1440"/>
        </w:tabs>
        <w:snapToGrid w:val="0"/>
        <w:jc w:val="both"/>
        <w:rPr>
          <w:rFonts w:cs="Times New Roman"/>
          <w:lang w:val="fr-FR"/>
        </w:rPr>
      </w:pPr>
      <w:r>
        <w:rPr>
          <w:rFonts w:cs="Times New Roman"/>
          <w:lang w:val="fr-FR"/>
        </w:rPr>
        <w:t>La notion d’exposition ainsi définie impose un lien entre l’exposition et la population soumise au risque de développer la maladie revendiquée.</w:t>
      </w:r>
    </w:p>
    <w:p w14:paraId="025561FF" w14:textId="77777777" w:rsidR="008E0B07" w:rsidRDefault="008E0B07" w:rsidP="008E0B07">
      <w:pPr>
        <w:tabs>
          <w:tab w:val="left" w:pos="-1440"/>
        </w:tabs>
        <w:snapToGrid w:val="0"/>
        <w:jc w:val="both"/>
        <w:rPr>
          <w:rFonts w:cs="Times New Roman"/>
          <w:lang w:val="fr-FR"/>
        </w:rPr>
      </w:pPr>
    </w:p>
    <w:p w14:paraId="209D28EA" w14:textId="77777777" w:rsidR="00D90372" w:rsidRDefault="00D90372" w:rsidP="00D90372">
      <w:pPr>
        <w:tabs>
          <w:tab w:val="left" w:pos="-1440"/>
        </w:tabs>
        <w:snapToGrid w:val="0"/>
        <w:jc w:val="both"/>
        <w:rPr>
          <w:rFonts w:cs="Times New Roman"/>
          <w:lang w:val="fr-FR"/>
        </w:rPr>
      </w:pPr>
      <w:r>
        <w:rPr>
          <w:rFonts w:cs="Times New Roman"/>
          <w:lang w:val="fr-FR"/>
        </w:rPr>
        <w:t>Le législateur a, dès lors, voulu insister sur le caractère collectif de la maladie professionnelle.</w:t>
      </w:r>
    </w:p>
    <w:p w14:paraId="4837521B" w14:textId="77777777" w:rsidR="00D90372" w:rsidRDefault="00D90372" w:rsidP="00D90372">
      <w:pPr>
        <w:tabs>
          <w:tab w:val="left" w:pos="-1440"/>
        </w:tabs>
        <w:snapToGrid w:val="0"/>
        <w:jc w:val="both"/>
        <w:rPr>
          <w:rFonts w:cs="Times New Roman"/>
          <w:lang w:val="fr-FR"/>
        </w:rPr>
      </w:pPr>
    </w:p>
    <w:p w14:paraId="0D55B007" w14:textId="77777777" w:rsidR="00D90372" w:rsidRDefault="00D90372" w:rsidP="00D90372">
      <w:pPr>
        <w:tabs>
          <w:tab w:val="left" w:pos="-1440"/>
        </w:tabs>
        <w:snapToGrid w:val="0"/>
        <w:jc w:val="both"/>
        <w:rPr>
          <w:rFonts w:cs="Times New Roman"/>
          <w:i/>
          <w:lang w:val="fr-FR"/>
        </w:rPr>
      </w:pPr>
      <w:r>
        <w:rPr>
          <w:rFonts w:cs="Times New Roman"/>
          <w:lang w:val="fr-FR"/>
        </w:rPr>
        <w:t>« </w:t>
      </w:r>
      <w:r>
        <w:rPr>
          <w:rFonts w:cs="Times New Roman"/>
          <w:i/>
          <w:lang w:val="fr-FR"/>
        </w:rPr>
        <w:t>Néanmoins, au sein du groupe nettement plus exposé au risque que la population générale, le risque de contracter la maladie du fait de l’exposition à des agents ou des conditions de travail bien définis doit s’apprécier en fonction des caractéristiques propres de chaque agent, en ce compris d’éventuelles prédispositions pathologiques.  Rien ne permet en effet d’affirmer que le législateur de 2006 aurait entendu se départir de cette individualisation au sein du groupe exposé.</w:t>
      </w:r>
    </w:p>
    <w:p w14:paraId="2B4EA455" w14:textId="77777777" w:rsidR="00D90372" w:rsidRDefault="00D90372" w:rsidP="00D90372">
      <w:pPr>
        <w:tabs>
          <w:tab w:val="left" w:pos="-1440"/>
        </w:tabs>
        <w:snapToGrid w:val="0"/>
        <w:jc w:val="both"/>
        <w:rPr>
          <w:rFonts w:cs="Times New Roman"/>
          <w:i/>
          <w:lang w:val="fr-FR"/>
        </w:rPr>
      </w:pPr>
    </w:p>
    <w:p w14:paraId="030315AB" w14:textId="77777777" w:rsidR="00D90372" w:rsidRDefault="00D90372" w:rsidP="00D90372">
      <w:pPr>
        <w:tabs>
          <w:tab w:val="left" w:pos="-1440"/>
        </w:tabs>
        <w:snapToGrid w:val="0"/>
        <w:jc w:val="both"/>
        <w:rPr>
          <w:rFonts w:cs="Times New Roman"/>
          <w:i/>
          <w:lang w:val="fr-FR"/>
        </w:rPr>
      </w:pPr>
      <w:r>
        <w:rPr>
          <w:rFonts w:cs="Times New Roman"/>
          <w:i/>
          <w:lang w:val="fr-FR"/>
        </w:rPr>
        <w:t>En outre, « le critère de l’exposition au risque professionnel de la maladie suppose qu’un risque de contracter la maladie existe, risque généré par le milieu professionnel.»</w:t>
      </w:r>
      <w:r w:rsidRPr="00D90372">
        <w:rPr>
          <w:rStyle w:val="Appelnotedebasdep"/>
          <w:rFonts w:cs="Times New Roman"/>
          <w:vertAlign w:val="superscript"/>
          <w:lang w:val="fr-FR"/>
        </w:rPr>
        <w:footnoteReference w:id="16"/>
      </w:r>
    </w:p>
    <w:p w14:paraId="2862EADC" w14:textId="77777777" w:rsidR="00D90372" w:rsidRDefault="00D90372" w:rsidP="008E0B07">
      <w:pPr>
        <w:tabs>
          <w:tab w:val="left" w:pos="-1440"/>
        </w:tabs>
        <w:snapToGrid w:val="0"/>
        <w:jc w:val="both"/>
        <w:rPr>
          <w:rFonts w:cs="Times New Roman"/>
          <w:lang w:val="fr-FR"/>
        </w:rPr>
      </w:pPr>
    </w:p>
    <w:p w14:paraId="75D8B411" w14:textId="77777777" w:rsidR="008E0B07" w:rsidRPr="001F3F80" w:rsidRDefault="008E0B07" w:rsidP="008E0B07">
      <w:pPr>
        <w:tabs>
          <w:tab w:val="left" w:pos="-1440"/>
        </w:tabs>
        <w:snapToGrid w:val="0"/>
        <w:jc w:val="both"/>
        <w:rPr>
          <w:rFonts w:cs="Times New Roman"/>
          <w:vertAlign w:val="superscript"/>
          <w:lang w:val="fr-FR"/>
        </w:rPr>
      </w:pPr>
    </w:p>
    <w:p w14:paraId="1580DF39" w14:textId="77777777" w:rsidR="008E0B07" w:rsidRPr="00901E6D" w:rsidRDefault="008E0B07" w:rsidP="008E0B07">
      <w:pPr>
        <w:tabs>
          <w:tab w:val="left" w:pos="-1440"/>
        </w:tabs>
        <w:snapToGrid w:val="0"/>
        <w:jc w:val="both"/>
        <w:rPr>
          <w:rFonts w:cs="Times New Roman"/>
          <w:lang w:val="fr-FR"/>
        </w:rPr>
      </w:pPr>
      <w:r>
        <w:rPr>
          <w:rFonts w:cs="Times New Roman"/>
          <w:lang w:val="fr-FR"/>
        </w:rPr>
        <w:t>2.  Aussi, p</w:t>
      </w:r>
      <w:r w:rsidRPr="00901E6D">
        <w:rPr>
          <w:rFonts w:cs="Times New Roman"/>
          <w:lang w:val="fr-FR"/>
        </w:rPr>
        <w:t>our tenter d’appréhender les difficultés d’appréciation concrète de la notion d’exposition au risque de la maladie professionnelle, des tentatives d’objectivation ont été élaborées par le comité technique d</w:t>
      </w:r>
      <w:r>
        <w:rPr>
          <w:rFonts w:cs="Times New Roman"/>
          <w:lang w:val="fr-FR"/>
        </w:rPr>
        <w:t>e la partie défenderesse</w:t>
      </w:r>
      <w:r w:rsidRPr="00901E6D">
        <w:rPr>
          <w:rFonts w:cs="Times New Roman"/>
          <w:lang w:val="fr-FR"/>
        </w:rPr>
        <w:t>.</w:t>
      </w:r>
    </w:p>
    <w:p w14:paraId="0C0048AE" w14:textId="77777777" w:rsidR="008E0B07" w:rsidRPr="00901E6D" w:rsidRDefault="008E0B07" w:rsidP="008E0B07">
      <w:pPr>
        <w:tabs>
          <w:tab w:val="left" w:pos="-1440"/>
        </w:tabs>
        <w:snapToGrid w:val="0"/>
        <w:jc w:val="both"/>
        <w:rPr>
          <w:rFonts w:cs="Times New Roman"/>
          <w:lang w:val="fr-FR"/>
        </w:rPr>
      </w:pPr>
    </w:p>
    <w:p w14:paraId="01F0ECD1" w14:textId="77777777" w:rsidR="008E0B07" w:rsidRPr="001F3F80" w:rsidRDefault="008E0B07" w:rsidP="008E0B07">
      <w:pPr>
        <w:tabs>
          <w:tab w:val="left" w:pos="-1440"/>
        </w:tabs>
        <w:snapToGrid w:val="0"/>
        <w:jc w:val="both"/>
        <w:rPr>
          <w:rFonts w:cs="Times New Roman"/>
          <w:i/>
          <w:vertAlign w:val="superscript"/>
          <w:lang w:val="fr-FR"/>
        </w:rPr>
      </w:pPr>
      <w:r w:rsidRPr="00901E6D">
        <w:rPr>
          <w:rFonts w:cs="Times New Roman"/>
          <w:lang w:val="fr-FR"/>
        </w:rPr>
        <w:t>Toutefois</w:t>
      </w:r>
      <w:r>
        <w:rPr>
          <w:rFonts w:cs="Times New Roman"/>
          <w:lang w:val="fr-FR"/>
        </w:rPr>
        <w:t>, précisons que</w:t>
      </w:r>
      <w:r w:rsidRPr="00901E6D">
        <w:rPr>
          <w:rFonts w:cs="Times New Roman"/>
          <w:lang w:val="fr-FR"/>
        </w:rPr>
        <w:t xml:space="preserve"> « </w:t>
      </w:r>
      <w:r w:rsidRPr="00901E6D">
        <w:rPr>
          <w:rFonts w:cs="Times New Roman"/>
          <w:i/>
          <w:lang w:val="fr-FR"/>
        </w:rPr>
        <w:t xml:space="preserve">la jurisprudence rappelle de manière constante que ces critères, qui présentent l’avantage d’être objectivés, n’ont cependant qu’une valeur d’avis et ne lient pas les cours et tribunaux ni les experts, dans la mesure où ils doivent être adaptés à chaque cas particulier en fonction de la constitution du patient, de la sensibilité de son organisme, de son état antérieur éventuel, etc. (voir, notamment Cour trav. Liège, 13 janvier 1992, </w:t>
      </w:r>
      <w:hyperlink r:id="rId9" w:history="1">
        <w:r w:rsidRPr="00901E6D">
          <w:rPr>
            <w:rStyle w:val="Lienhypertexte"/>
            <w:rFonts w:cs="Times New Roman"/>
            <w:i/>
            <w:lang w:val="fr-FR"/>
          </w:rPr>
          <w:t>www.juridat.be</w:t>
        </w:r>
      </w:hyperlink>
      <w:r w:rsidRPr="00901E6D">
        <w:rPr>
          <w:rFonts w:cs="Times New Roman"/>
          <w:i/>
          <w:lang w:val="fr-FR"/>
        </w:rPr>
        <w:t xml:space="preserve">, n° JS52233-1 ; Cour trav. Mons, 15 novembre 2005, </w:t>
      </w:r>
      <w:hyperlink r:id="rId10" w:history="1">
        <w:r w:rsidRPr="00901E6D">
          <w:rPr>
            <w:rStyle w:val="Lienhypertexte"/>
            <w:rFonts w:cs="Times New Roman"/>
            <w:i/>
            <w:lang w:val="fr-FR"/>
          </w:rPr>
          <w:t>www.juridat.be</w:t>
        </w:r>
      </w:hyperlink>
      <w:r w:rsidRPr="00901E6D">
        <w:rPr>
          <w:rFonts w:cs="Times New Roman"/>
          <w:i/>
          <w:lang w:val="fr-FR"/>
        </w:rPr>
        <w:t>, n° JS61666-1).</w:t>
      </w:r>
      <w:r>
        <w:rPr>
          <w:rFonts w:cs="Times New Roman"/>
          <w:i/>
          <w:lang w:val="fr-FR"/>
        </w:rPr>
        <w:t xml:space="preserve"> </w:t>
      </w:r>
      <w:r w:rsidRPr="001F3F80">
        <w:rPr>
          <w:rStyle w:val="Appelnotedebasdep"/>
          <w:rFonts w:cs="Times New Roman"/>
          <w:i/>
          <w:vertAlign w:val="superscript"/>
          <w:lang w:val="fr-FR"/>
        </w:rPr>
        <w:footnoteReference w:id="17"/>
      </w:r>
    </w:p>
    <w:p w14:paraId="12B9CAD8" w14:textId="77777777" w:rsidR="008E0B07" w:rsidRDefault="008E0B07" w:rsidP="008E0B07">
      <w:pPr>
        <w:tabs>
          <w:tab w:val="left" w:pos="-1440"/>
        </w:tabs>
        <w:snapToGrid w:val="0"/>
        <w:jc w:val="both"/>
        <w:rPr>
          <w:rFonts w:cs="Times New Roman"/>
          <w:lang w:val="fr-FR"/>
        </w:rPr>
      </w:pPr>
    </w:p>
    <w:p w14:paraId="7CA78DCB" w14:textId="77777777" w:rsidR="00D90372" w:rsidRPr="00662527" w:rsidRDefault="00D90372" w:rsidP="00D90372">
      <w:pPr>
        <w:tabs>
          <w:tab w:val="left" w:pos="-1440"/>
        </w:tabs>
        <w:snapToGrid w:val="0"/>
        <w:jc w:val="both"/>
        <w:rPr>
          <w:rFonts w:cs="Times New Roman"/>
          <w:i/>
          <w:lang w:val="fr-FR"/>
        </w:rPr>
      </w:pPr>
      <w:r>
        <w:rPr>
          <w:rFonts w:cs="Times New Roman"/>
          <w:lang w:val="fr-FR"/>
        </w:rPr>
        <w:t xml:space="preserve">De </w:t>
      </w:r>
      <w:r w:rsidR="004E3F2B">
        <w:rPr>
          <w:rFonts w:cs="Times New Roman"/>
          <w:lang w:val="fr-FR"/>
        </w:rPr>
        <w:t>même</w:t>
      </w:r>
      <w:r>
        <w:rPr>
          <w:rFonts w:cs="Times New Roman"/>
          <w:lang w:val="fr-FR"/>
        </w:rPr>
        <w:t>, la jurisprudence estime en ce qui concerne l’article 32 alinéas 1 et 2 des lois coordonnées du 3 juin 1970 que</w:t>
      </w:r>
      <w:r w:rsidRPr="00662527">
        <w:rPr>
          <w:rFonts w:cs="Times New Roman"/>
          <w:lang w:val="fr-FR"/>
        </w:rPr>
        <w:t xml:space="preserve"> </w:t>
      </w:r>
      <w:r w:rsidRPr="00662527">
        <w:rPr>
          <w:rFonts w:cs="Times New Roman"/>
          <w:i/>
          <w:lang w:val="fr-FR"/>
        </w:rPr>
        <w:t xml:space="preserve">« Cette définition ne contient aucune indication de durée minimum, voire d’intensité minimum, pas plus qu’elle ne contient de critères, de diagnostics médicaux, d’évaluation ou de prévention. </w:t>
      </w:r>
    </w:p>
    <w:p w14:paraId="42F7A6F9" w14:textId="77777777" w:rsidR="00D90372" w:rsidRPr="00772350" w:rsidRDefault="00D90372" w:rsidP="00D90372">
      <w:pPr>
        <w:tabs>
          <w:tab w:val="left" w:pos="-1440"/>
        </w:tabs>
        <w:snapToGrid w:val="0"/>
        <w:jc w:val="both"/>
        <w:rPr>
          <w:rFonts w:cs="Times New Roman"/>
          <w:lang w:val="fr-FR"/>
        </w:rPr>
      </w:pPr>
      <w:r w:rsidRPr="00662527">
        <w:rPr>
          <w:rFonts w:cs="Times New Roman"/>
          <w:i/>
          <w:lang w:val="fr-FR"/>
        </w:rPr>
        <w:lastRenderedPageBreak/>
        <w:t xml:space="preserve"> Cette absence de critères met la victime à l’abri d’une nomenclature rigide de «conditions». C’est une formule souple qui assure, du point de vue scientifique, un débat toujours ouvert et multidisciplinaire, débat qui permet la confrontation des  recherches et les révisions nécessaires  (G.S.P., partie I, Livre V, titre II, Chapitre II, 2, 130). »</w:t>
      </w:r>
      <w:r w:rsidRPr="00D90372">
        <w:rPr>
          <w:rFonts w:cs="Times New Roman"/>
          <w:vertAlign w:val="superscript"/>
          <w:lang w:val="fr-FR"/>
        </w:rPr>
        <w:footnoteReference w:id="18"/>
      </w:r>
    </w:p>
    <w:p w14:paraId="31CD6C9C" w14:textId="77777777" w:rsidR="00874493" w:rsidRDefault="00874493" w:rsidP="008E0B07">
      <w:pPr>
        <w:tabs>
          <w:tab w:val="left" w:pos="1985"/>
        </w:tabs>
        <w:jc w:val="both"/>
        <w:rPr>
          <w:rFonts w:cs="Times New Roman"/>
        </w:rPr>
      </w:pPr>
    </w:p>
    <w:p w14:paraId="30CC6175" w14:textId="77777777" w:rsidR="008E0B07" w:rsidRPr="00E80DBA" w:rsidRDefault="008E0B07" w:rsidP="008E0B07">
      <w:pPr>
        <w:tabs>
          <w:tab w:val="left" w:pos="1985"/>
        </w:tabs>
        <w:jc w:val="both"/>
        <w:rPr>
          <w:rFonts w:cs="Times New Roman"/>
          <w:i/>
        </w:rPr>
      </w:pPr>
      <w:r>
        <w:rPr>
          <w:rFonts w:cs="Times New Roman"/>
        </w:rPr>
        <w:t>3. En conclusion, pour démonter l’existence d’une exposition professionnelle,  La Cour du travail de Liège, division Liège, Chambre 3 E</w:t>
      </w:r>
      <w:r w:rsidRPr="003C6DC4">
        <w:rPr>
          <w:rStyle w:val="Appelnotedebasdep"/>
          <w:rFonts w:cs="Times New Roman"/>
          <w:vertAlign w:val="superscript"/>
        </w:rPr>
        <w:footnoteReference w:id="19"/>
      </w:r>
      <w:r>
        <w:rPr>
          <w:rFonts w:cs="Times New Roman"/>
        </w:rPr>
        <w:t xml:space="preserve"> a décidé en date du 13 décembre 2019 que : « </w:t>
      </w:r>
      <w:r w:rsidRPr="00E80DBA">
        <w:rPr>
          <w:rFonts w:cs="Times New Roman"/>
          <w:i/>
        </w:rPr>
        <w:t>l’examen de la condition d’exposition au risque nécessite une analyse à deux niveaux : collectif et individuel.</w:t>
      </w:r>
    </w:p>
    <w:p w14:paraId="2BC3959B" w14:textId="77777777" w:rsidR="00874493" w:rsidRDefault="00874493" w:rsidP="008E0B07">
      <w:pPr>
        <w:tabs>
          <w:tab w:val="left" w:pos="1985"/>
        </w:tabs>
        <w:jc w:val="both"/>
        <w:rPr>
          <w:rFonts w:cs="Times New Roman"/>
          <w:b/>
          <w:i/>
        </w:rPr>
      </w:pPr>
    </w:p>
    <w:p w14:paraId="094F1575" w14:textId="77777777" w:rsidR="008E0B07" w:rsidRPr="00E80DBA" w:rsidRDefault="008E0B07" w:rsidP="008E0B07">
      <w:pPr>
        <w:tabs>
          <w:tab w:val="left" w:pos="1985"/>
        </w:tabs>
        <w:jc w:val="both"/>
        <w:rPr>
          <w:rFonts w:cs="Times New Roman"/>
          <w:b/>
          <w:i/>
        </w:rPr>
      </w:pPr>
      <w:r w:rsidRPr="00E80DBA">
        <w:rPr>
          <w:rFonts w:cs="Times New Roman"/>
          <w:b/>
          <w:i/>
        </w:rPr>
        <w:t>13</w:t>
      </w:r>
    </w:p>
    <w:p w14:paraId="39F6DB2F" w14:textId="77777777" w:rsidR="008E0B07" w:rsidRPr="00E80DBA" w:rsidRDefault="008E0B07" w:rsidP="008E0B07">
      <w:pPr>
        <w:tabs>
          <w:tab w:val="left" w:pos="1985"/>
        </w:tabs>
        <w:jc w:val="both"/>
        <w:rPr>
          <w:rFonts w:cs="Times New Roman"/>
          <w:i/>
        </w:rPr>
      </w:pPr>
      <w:r w:rsidRPr="00E80DBA">
        <w:rPr>
          <w:rFonts w:cs="Times New Roman"/>
          <w:i/>
        </w:rPr>
        <w:t xml:space="preserve">Au niveau collectif, la victime d’une maladie professionnelle doit démontrer que : </w:t>
      </w:r>
    </w:p>
    <w:p w14:paraId="4E435DF5" w14:textId="77777777" w:rsidR="008E0B07" w:rsidRPr="00E80DBA" w:rsidRDefault="008E0B07" w:rsidP="008E0B07">
      <w:pPr>
        <w:tabs>
          <w:tab w:val="left" w:pos="1985"/>
        </w:tabs>
        <w:jc w:val="both"/>
        <w:rPr>
          <w:rFonts w:cs="Times New Roman"/>
          <w:i/>
        </w:rPr>
      </w:pPr>
    </w:p>
    <w:p w14:paraId="09786F93" w14:textId="77777777" w:rsidR="008E0B07" w:rsidRPr="00E80DBA" w:rsidRDefault="008E0B07" w:rsidP="008E0B07">
      <w:pPr>
        <w:widowControl/>
        <w:numPr>
          <w:ilvl w:val="0"/>
          <w:numId w:val="18"/>
        </w:numPr>
        <w:suppressAutoHyphens w:val="0"/>
        <w:autoSpaceDN/>
        <w:ind w:left="993" w:hanging="273"/>
        <w:jc w:val="both"/>
        <w:textAlignment w:val="auto"/>
        <w:rPr>
          <w:rFonts w:cs="Times New Roman"/>
          <w:i/>
        </w:rPr>
      </w:pPr>
      <w:r w:rsidRPr="00E80DBA">
        <w:rPr>
          <w:rFonts w:cs="Times New Roman"/>
          <w:i/>
        </w:rPr>
        <w:t>l'exposition à l'influence nocive est inhérente à l'exercice de la profession ;</w:t>
      </w:r>
    </w:p>
    <w:p w14:paraId="6C5D1FA2" w14:textId="77777777" w:rsidR="008E0B07" w:rsidRPr="00E80DBA" w:rsidRDefault="008E0B07" w:rsidP="008E0B07">
      <w:pPr>
        <w:widowControl/>
        <w:numPr>
          <w:ilvl w:val="0"/>
          <w:numId w:val="18"/>
        </w:numPr>
        <w:suppressAutoHyphens w:val="0"/>
        <w:autoSpaceDN/>
        <w:ind w:left="993" w:hanging="273"/>
        <w:jc w:val="both"/>
        <w:textAlignment w:val="auto"/>
        <w:rPr>
          <w:rFonts w:cs="Times New Roman"/>
          <w:i/>
        </w:rPr>
      </w:pPr>
      <w:r w:rsidRPr="00E80DBA">
        <w:rPr>
          <w:rFonts w:cs="Times New Roman"/>
          <w:i/>
        </w:rPr>
        <w:t>l’exposition à l’influence nocive est nettement plus grande que celle subie par la population en général ;</w:t>
      </w:r>
    </w:p>
    <w:p w14:paraId="4B9383C2" w14:textId="77777777" w:rsidR="008E0B07" w:rsidRPr="00E80DBA" w:rsidRDefault="008E0B07" w:rsidP="008E0B07">
      <w:pPr>
        <w:widowControl/>
        <w:numPr>
          <w:ilvl w:val="0"/>
          <w:numId w:val="18"/>
        </w:numPr>
        <w:suppressAutoHyphens w:val="0"/>
        <w:autoSpaceDN/>
        <w:ind w:left="993" w:hanging="273"/>
        <w:jc w:val="both"/>
        <w:textAlignment w:val="auto"/>
        <w:rPr>
          <w:rFonts w:cs="Times New Roman"/>
          <w:i/>
        </w:rPr>
      </w:pPr>
      <w:r w:rsidRPr="00E80DBA">
        <w:rPr>
          <w:rFonts w:cs="Times New Roman"/>
          <w:i/>
        </w:rPr>
        <w:t>l’exposition nocive constitue, dans les groupes de personnes exposées, selon les connaissances médicales généralement admises, la cause prépondérante de la maladie. Cette dernière condition est donc une condition d’imputabilité.</w:t>
      </w:r>
    </w:p>
    <w:p w14:paraId="753297B1" w14:textId="77777777" w:rsidR="008E0B07" w:rsidRPr="00E80DBA" w:rsidRDefault="008E0B07" w:rsidP="008E0B07">
      <w:pPr>
        <w:tabs>
          <w:tab w:val="left" w:pos="1985"/>
        </w:tabs>
        <w:jc w:val="both"/>
        <w:rPr>
          <w:rFonts w:cs="Times New Roman"/>
          <w:i/>
        </w:rPr>
      </w:pPr>
    </w:p>
    <w:p w14:paraId="30F268EC" w14:textId="77777777" w:rsidR="008E0B07" w:rsidRPr="00E80DBA" w:rsidRDefault="008E0B07" w:rsidP="008E0B07">
      <w:pPr>
        <w:tabs>
          <w:tab w:val="left" w:pos="1985"/>
        </w:tabs>
        <w:jc w:val="both"/>
        <w:rPr>
          <w:rFonts w:cs="Times New Roman"/>
          <w:i/>
        </w:rPr>
      </w:pPr>
      <w:r w:rsidRPr="00E80DBA">
        <w:rPr>
          <w:rFonts w:cs="Times New Roman"/>
          <w:i/>
        </w:rPr>
        <w:t>Lors de la modification de l’article 32 des lois coordonnées en 2006, le législateur a insisté sur l’exigence d’une analyse collective :</w:t>
      </w:r>
    </w:p>
    <w:p w14:paraId="5EAFF6E1" w14:textId="77777777" w:rsidR="008E0B07" w:rsidRPr="00E80DBA" w:rsidRDefault="008E0B07" w:rsidP="008E0B07">
      <w:pPr>
        <w:tabs>
          <w:tab w:val="left" w:pos="1985"/>
        </w:tabs>
        <w:jc w:val="both"/>
        <w:rPr>
          <w:rFonts w:cs="Times New Roman"/>
          <w:i/>
        </w:rPr>
      </w:pPr>
    </w:p>
    <w:p w14:paraId="1F9F0B14" w14:textId="77777777" w:rsidR="008E0B07" w:rsidRPr="00E80DBA" w:rsidRDefault="008E0B07" w:rsidP="008E0B07">
      <w:pPr>
        <w:tabs>
          <w:tab w:val="left" w:pos="1985"/>
        </w:tabs>
        <w:ind w:left="720"/>
        <w:jc w:val="both"/>
        <w:rPr>
          <w:rFonts w:cs="Times New Roman"/>
          <w:i/>
        </w:rPr>
      </w:pPr>
      <w:r w:rsidRPr="00E80DBA">
        <w:rPr>
          <w:rFonts w:cs="Times New Roman"/>
          <w:i/>
        </w:rPr>
        <w:t>« Pour pouvoir parler d’une maladie professionnelle, il faut au moins que dans des groupes de personnes exposées à une influence nocive déterminée, la maladie soit plus fréquente que dans la population générale. Le caractère professionnel de la maladie s’établit au niveau du groupe, non au niveau de l’individu. »</w:t>
      </w:r>
      <w:r w:rsidRPr="003C6DC4">
        <w:rPr>
          <w:rStyle w:val="Appelnotedebasdep"/>
          <w:rFonts w:cs="Times New Roman"/>
          <w:i/>
          <w:vertAlign w:val="superscript"/>
        </w:rPr>
        <w:footnoteReference w:id="20"/>
      </w:r>
    </w:p>
    <w:p w14:paraId="3378C2FA" w14:textId="77777777" w:rsidR="008E0B07" w:rsidRPr="00E80DBA" w:rsidRDefault="008E0B07" w:rsidP="008E0B07">
      <w:pPr>
        <w:tabs>
          <w:tab w:val="left" w:pos="1985"/>
        </w:tabs>
        <w:jc w:val="both"/>
        <w:rPr>
          <w:rFonts w:cs="Times New Roman"/>
          <w:i/>
        </w:rPr>
      </w:pPr>
    </w:p>
    <w:p w14:paraId="3ADCB9F3" w14:textId="77777777" w:rsidR="008E0B07" w:rsidRPr="00E80DBA" w:rsidRDefault="008E0B07" w:rsidP="008E0B07">
      <w:pPr>
        <w:tabs>
          <w:tab w:val="left" w:pos="1985"/>
        </w:tabs>
        <w:jc w:val="both"/>
        <w:rPr>
          <w:rFonts w:cs="Times New Roman"/>
          <w:b/>
          <w:i/>
        </w:rPr>
      </w:pPr>
      <w:r w:rsidRPr="00E80DBA">
        <w:rPr>
          <w:rFonts w:cs="Times New Roman"/>
          <w:b/>
          <w:i/>
        </w:rPr>
        <w:t>14</w:t>
      </w:r>
    </w:p>
    <w:p w14:paraId="40D683E8" w14:textId="77777777" w:rsidR="008E0B07" w:rsidRPr="00E80DBA" w:rsidRDefault="008E0B07" w:rsidP="008E0B07">
      <w:pPr>
        <w:tabs>
          <w:tab w:val="left" w:pos="1985"/>
        </w:tabs>
        <w:jc w:val="both"/>
        <w:rPr>
          <w:rFonts w:cs="Times New Roman"/>
          <w:i/>
        </w:rPr>
      </w:pPr>
      <w:r w:rsidRPr="00E80DBA">
        <w:rPr>
          <w:rFonts w:cs="Times New Roman"/>
          <w:i/>
        </w:rPr>
        <w:t>L’analyse doit ensuite intervenir à titre individuel : la victime doit démontrer qu’elle a, elle-même, été exposée au risque professionnel.</w:t>
      </w:r>
      <w:r>
        <w:rPr>
          <w:rFonts w:cs="Times New Roman"/>
          <w:i/>
        </w:rPr>
        <w:t xml:space="preserve"> (…)</w:t>
      </w:r>
    </w:p>
    <w:p w14:paraId="008F32F4" w14:textId="77777777" w:rsidR="008E0B07" w:rsidRPr="00E80DBA" w:rsidRDefault="008E0B07" w:rsidP="008E0B07">
      <w:pPr>
        <w:tabs>
          <w:tab w:val="left" w:pos="1985"/>
        </w:tabs>
        <w:jc w:val="both"/>
        <w:rPr>
          <w:rFonts w:cs="Times New Roman"/>
          <w:i/>
        </w:rPr>
      </w:pPr>
    </w:p>
    <w:p w14:paraId="10A25BB0" w14:textId="77777777" w:rsidR="008E0B07" w:rsidRPr="00E80DBA" w:rsidRDefault="008E0B07" w:rsidP="008E0B07">
      <w:pPr>
        <w:tabs>
          <w:tab w:val="left" w:pos="1985"/>
        </w:tabs>
        <w:jc w:val="both"/>
        <w:rPr>
          <w:rFonts w:cs="Times New Roman"/>
          <w:i/>
        </w:rPr>
      </w:pPr>
      <w:r w:rsidRPr="00E80DBA">
        <w:rPr>
          <w:rFonts w:cs="Times New Roman"/>
          <w:i/>
        </w:rPr>
        <w:t>On constatera que cette disposition ne contient aucune indication de durée ou d’intensité minimum d’exposition, ni aucun critère d’évaluation. La jurisprudence relève que « cette absence de critères met la victime à l’abri d’une nomenclature rigide de « conditions »</w:t>
      </w:r>
      <w:r w:rsidRPr="003C6DC4">
        <w:rPr>
          <w:rStyle w:val="Appelnotedebasdep"/>
          <w:rFonts w:cs="Times New Roman"/>
          <w:i/>
          <w:vertAlign w:val="superscript"/>
        </w:rPr>
        <w:footnoteReference w:id="21"/>
      </w:r>
      <w:r w:rsidRPr="00E80DBA">
        <w:rPr>
          <w:rFonts w:cs="Times New Roman"/>
          <w:i/>
        </w:rPr>
        <w:t xml:space="preserve">. </w:t>
      </w:r>
    </w:p>
    <w:p w14:paraId="3FA42663" w14:textId="77777777" w:rsidR="008E0B07" w:rsidRPr="00E80DBA" w:rsidRDefault="008E0B07" w:rsidP="008E0B07">
      <w:pPr>
        <w:tabs>
          <w:tab w:val="left" w:pos="1985"/>
        </w:tabs>
        <w:jc w:val="both"/>
        <w:rPr>
          <w:rFonts w:cs="Times New Roman"/>
          <w:i/>
        </w:rPr>
      </w:pPr>
    </w:p>
    <w:p w14:paraId="176172D4" w14:textId="77777777" w:rsidR="008E0B07" w:rsidRDefault="008E0B07" w:rsidP="008E0B07">
      <w:pPr>
        <w:tabs>
          <w:tab w:val="left" w:pos="1985"/>
        </w:tabs>
        <w:jc w:val="both"/>
        <w:rPr>
          <w:rFonts w:cs="Times New Roman"/>
          <w:i/>
        </w:rPr>
      </w:pPr>
      <w:r w:rsidRPr="00E80DBA">
        <w:rPr>
          <w:rFonts w:cs="Times New Roman"/>
          <w:i/>
        </w:rPr>
        <w:t>De plus, le texte précise expressément que ce sont « les connaissances médicales généralement admises » qui doivent guider l’appréciation des cours et tribunaux. »</w:t>
      </w:r>
    </w:p>
    <w:p w14:paraId="107EFC7F" w14:textId="77777777" w:rsidR="008E0B07" w:rsidRDefault="008E0B07" w:rsidP="008E0B07">
      <w:pPr>
        <w:tabs>
          <w:tab w:val="left" w:pos="1985"/>
        </w:tabs>
        <w:jc w:val="both"/>
        <w:rPr>
          <w:rFonts w:cs="Times New Roman"/>
          <w:i/>
        </w:rPr>
      </w:pPr>
    </w:p>
    <w:p w14:paraId="72A94091" w14:textId="77777777" w:rsidR="007E7C7C" w:rsidRDefault="007E7C7C" w:rsidP="00DD6672">
      <w:pPr>
        <w:tabs>
          <w:tab w:val="left" w:pos="-1440"/>
        </w:tabs>
        <w:snapToGrid w:val="0"/>
        <w:jc w:val="both"/>
        <w:rPr>
          <w:rFonts w:cs="Times New Roman"/>
          <w:lang w:val="fr-FR"/>
        </w:rPr>
      </w:pPr>
    </w:p>
    <w:p w14:paraId="621EEFDD" w14:textId="77777777" w:rsidR="00DD6672" w:rsidRPr="008845D8" w:rsidRDefault="00DD6672" w:rsidP="00DD6672">
      <w:pPr>
        <w:pStyle w:val="Paragraphedeliste"/>
        <w:numPr>
          <w:ilvl w:val="0"/>
          <w:numId w:val="20"/>
        </w:numPr>
        <w:tabs>
          <w:tab w:val="left" w:pos="-1440"/>
        </w:tabs>
        <w:snapToGrid w:val="0"/>
        <w:jc w:val="both"/>
        <w:rPr>
          <w:rFonts w:cs="Times New Roman"/>
          <w:b/>
          <w:lang w:val="fr-FR"/>
        </w:rPr>
      </w:pPr>
      <w:r w:rsidRPr="008845D8">
        <w:rPr>
          <w:rFonts w:cs="Times New Roman"/>
          <w:b/>
          <w:lang w:val="fr-FR"/>
        </w:rPr>
        <w:t>Le lien direct et déterminant.</w:t>
      </w:r>
    </w:p>
    <w:p w14:paraId="57E4CE6B" w14:textId="77777777" w:rsidR="00DD6672" w:rsidRPr="00476165" w:rsidRDefault="00DD6672" w:rsidP="00302E61">
      <w:pPr>
        <w:tabs>
          <w:tab w:val="left" w:pos="-1440"/>
        </w:tabs>
        <w:snapToGrid w:val="0"/>
        <w:jc w:val="both"/>
        <w:rPr>
          <w:rFonts w:cs="Times New Roman"/>
          <w:lang w:val="fr-FR"/>
        </w:rPr>
      </w:pPr>
    </w:p>
    <w:p w14:paraId="7FCFD69A" w14:textId="77777777" w:rsidR="00302E61" w:rsidRPr="00476165" w:rsidRDefault="00302E61" w:rsidP="00302E61">
      <w:pPr>
        <w:tabs>
          <w:tab w:val="left" w:pos="-1440"/>
        </w:tabs>
        <w:snapToGrid w:val="0"/>
        <w:jc w:val="both"/>
        <w:rPr>
          <w:rFonts w:cs="Times New Roman"/>
          <w:b/>
          <w:lang w:val="fr-FR"/>
        </w:rPr>
      </w:pPr>
      <w:r w:rsidRPr="00476165">
        <w:rPr>
          <w:rFonts w:cs="Times New Roman"/>
          <w:b/>
          <w:lang w:val="fr-FR"/>
        </w:rPr>
        <w:t xml:space="preserve">Le tribunal rappelle à l’expert que ce n’est pas parce que l’exposition au risque est établie que le lien de causalité direct et déterminant entre la maladie et les </w:t>
      </w:r>
      <w:r w:rsidRPr="00476165">
        <w:rPr>
          <w:rFonts w:cs="Times New Roman"/>
          <w:b/>
          <w:lang w:val="fr-FR"/>
        </w:rPr>
        <w:lastRenderedPageBreak/>
        <w:t>professions exercées est automatiquement établi.</w:t>
      </w:r>
    </w:p>
    <w:p w14:paraId="6368DC30" w14:textId="77777777" w:rsidR="00302E61" w:rsidRPr="00476165" w:rsidRDefault="00302E61" w:rsidP="00302E61">
      <w:pPr>
        <w:tabs>
          <w:tab w:val="left" w:pos="-1440"/>
        </w:tabs>
        <w:snapToGrid w:val="0"/>
        <w:jc w:val="both"/>
        <w:rPr>
          <w:rFonts w:cs="Times New Roman"/>
          <w:lang w:val="fr-FR"/>
        </w:rPr>
      </w:pPr>
    </w:p>
    <w:p w14:paraId="48D3FC39" w14:textId="77777777" w:rsidR="00302E61" w:rsidRPr="00D90372" w:rsidRDefault="00302E61" w:rsidP="00302E61">
      <w:pPr>
        <w:tabs>
          <w:tab w:val="left" w:pos="-1440"/>
        </w:tabs>
        <w:snapToGrid w:val="0"/>
        <w:jc w:val="both"/>
        <w:rPr>
          <w:rFonts w:cs="Times New Roman"/>
          <w:vertAlign w:val="superscript"/>
          <w:lang w:val="fr-FR"/>
        </w:rPr>
      </w:pPr>
      <w:r w:rsidRPr="00476165">
        <w:rPr>
          <w:rFonts w:cs="Times New Roman"/>
          <w:lang w:val="fr-FR"/>
        </w:rPr>
        <w:t xml:space="preserve">Aussi, </w:t>
      </w:r>
      <w:r w:rsidRPr="00476165">
        <w:rPr>
          <w:rFonts w:cs="Times New Roman"/>
          <w:b/>
          <w:lang w:val="fr-FR"/>
        </w:rPr>
        <w:t xml:space="preserve"> </w:t>
      </w:r>
      <w:r w:rsidRPr="00476165">
        <w:rPr>
          <w:rFonts w:cs="Times New Roman"/>
          <w:lang w:val="fr-FR"/>
        </w:rPr>
        <w:t>la Cour du travail de Liège, dans un arrêt du 28 juin 2000 a jugé que</w:t>
      </w:r>
      <w:r w:rsidR="00D90372">
        <w:rPr>
          <w:rFonts w:cs="Times New Roman"/>
          <w:lang w:val="fr-FR"/>
        </w:rPr>
        <w:t xml:space="preserve"> : </w:t>
      </w:r>
      <w:r w:rsidRPr="00476165">
        <w:rPr>
          <w:rFonts w:cs="Times New Roman"/>
          <w:lang w:val="fr-FR"/>
        </w:rPr>
        <w:t>«</w:t>
      </w:r>
      <w:r w:rsidRPr="00476165">
        <w:rPr>
          <w:rFonts w:cs="Times New Roman"/>
          <w:i/>
          <w:lang w:val="fr-FR"/>
        </w:rPr>
        <w:t> la relation causale entre l’exercice de la profession et la maladie hors liste doit être directe c'est-à-dire sans détour ni facteur intermédiaire, et déterminante adjectif qui crée un pléonasme mais qui tend à exprimer que la cause doit être réelle et manifeste, sans devoir être cependant exclusive ni même principale. »</w:t>
      </w:r>
      <w:r w:rsidRPr="00D90372">
        <w:rPr>
          <w:rFonts w:cs="Times New Roman"/>
          <w:vertAlign w:val="superscript"/>
          <w:lang w:val="fr-FR"/>
        </w:rPr>
        <w:footnoteReference w:id="22"/>
      </w:r>
      <w:r w:rsidRPr="00D90372">
        <w:rPr>
          <w:rFonts w:cs="Times New Roman"/>
          <w:i/>
          <w:vertAlign w:val="superscript"/>
          <w:lang w:val="fr-FR"/>
        </w:rPr>
        <w:t xml:space="preserve"> </w:t>
      </w:r>
    </w:p>
    <w:p w14:paraId="077FE7EF" w14:textId="77777777" w:rsidR="00C01CF1" w:rsidRPr="00D90372" w:rsidRDefault="00C01CF1" w:rsidP="00302E61">
      <w:pPr>
        <w:tabs>
          <w:tab w:val="left" w:pos="-1440"/>
        </w:tabs>
        <w:snapToGrid w:val="0"/>
        <w:jc w:val="both"/>
        <w:rPr>
          <w:rFonts w:cs="Times New Roman"/>
          <w:vertAlign w:val="superscript"/>
          <w:lang w:val="fr-FR"/>
        </w:rPr>
      </w:pPr>
      <w:r w:rsidRPr="00C01CF1">
        <w:rPr>
          <w:rFonts w:cs="Times New Roman"/>
          <w:i/>
          <w:lang w:val="fr-FR"/>
        </w:rPr>
        <w:t>Le facteur professionnel peut coexister avec d’autres facteurs dont les prédispositions pathologiques qui ont eu une incidence sur le déclenchement ou l’évolution de la maladie.</w:t>
      </w:r>
      <w:r w:rsidRPr="00D90372">
        <w:rPr>
          <w:rStyle w:val="Appelnotedebasdep"/>
          <w:rFonts w:cs="Times New Roman"/>
          <w:vertAlign w:val="superscript"/>
          <w:lang w:val="fr-FR"/>
        </w:rPr>
        <w:footnoteReference w:id="23"/>
      </w:r>
    </w:p>
    <w:p w14:paraId="50F16B67" w14:textId="77777777" w:rsidR="00C01CF1" w:rsidRPr="00C01CF1" w:rsidRDefault="00C01CF1" w:rsidP="00302E61">
      <w:pPr>
        <w:tabs>
          <w:tab w:val="left" w:pos="-1440"/>
        </w:tabs>
        <w:snapToGrid w:val="0"/>
        <w:jc w:val="both"/>
        <w:rPr>
          <w:rFonts w:cs="Times New Roman"/>
          <w:lang w:val="fr-FR"/>
        </w:rPr>
      </w:pPr>
    </w:p>
    <w:p w14:paraId="58B2355E" w14:textId="77777777" w:rsidR="00302E61" w:rsidRPr="00476165" w:rsidRDefault="00302E61" w:rsidP="00302E61">
      <w:pPr>
        <w:tabs>
          <w:tab w:val="left" w:pos="-1440"/>
        </w:tabs>
        <w:snapToGrid w:val="0"/>
        <w:jc w:val="both"/>
        <w:rPr>
          <w:rFonts w:cs="Times New Roman"/>
          <w:b/>
          <w:lang w:val="fr-FR"/>
        </w:rPr>
      </w:pPr>
      <w:r w:rsidRPr="00476165">
        <w:rPr>
          <w:rFonts w:cs="Times New Roman"/>
          <w:b/>
          <w:lang w:val="fr-FR"/>
        </w:rPr>
        <w:t>Dès lors, l’expert est invité à motiver ses conclusions en tenant compte de tout facteur autre que professionnel tel</w:t>
      </w:r>
      <w:r w:rsidR="00176D46">
        <w:rPr>
          <w:rFonts w:cs="Times New Roman"/>
          <w:b/>
          <w:lang w:val="fr-FR"/>
        </w:rPr>
        <w:t>s</w:t>
      </w:r>
      <w:r w:rsidRPr="00476165">
        <w:rPr>
          <w:rFonts w:cs="Times New Roman"/>
          <w:b/>
          <w:lang w:val="fr-FR"/>
        </w:rPr>
        <w:t xml:space="preserve"> que l’âge, la pratique d’un sport, les antécédents pathologiques ou traumatiques, le suivi d’un traitement médicamenteux, les éventuels effets secondaires, ...</w:t>
      </w:r>
    </w:p>
    <w:p w14:paraId="47B64704"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La victime ne bénéficie d’aucune présomption légale.</w:t>
      </w:r>
    </w:p>
    <w:p w14:paraId="36CF4590" w14:textId="77777777" w:rsidR="00302E61" w:rsidRPr="00476165" w:rsidRDefault="00302E61" w:rsidP="00302E61">
      <w:pPr>
        <w:tabs>
          <w:tab w:val="left" w:pos="-1440"/>
        </w:tabs>
        <w:snapToGrid w:val="0"/>
        <w:jc w:val="both"/>
        <w:rPr>
          <w:rFonts w:cs="Times New Roman"/>
          <w:lang w:val="fr-FR"/>
        </w:rPr>
      </w:pPr>
    </w:p>
    <w:p w14:paraId="48AC6860" w14:textId="77777777" w:rsidR="00302E61" w:rsidRPr="00D90372" w:rsidRDefault="00302E61" w:rsidP="00302E61">
      <w:pPr>
        <w:tabs>
          <w:tab w:val="left" w:pos="-1440"/>
        </w:tabs>
        <w:snapToGrid w:val="0"/>
        <w:jc w:val="both"/>
        <w:rPr>
          <w:rFonts w:cs="Times New Roman"/>
          <w:vertAlign w:val="superscript"/>
          <w:lang w:val="fr-FR"/>
        </w:rPr>
      </w:pPr>
      <w:r w:rsidRPr="00476165">
        <w:rPr>
          <w:rFonts w:cs="Times New Roman"/>
          <w:lang w:val="fr-FR"/>
        </w:rPr>
        <w:t>Toutefois, le lien de causalité requis par l’article 30 bis entre l’exercice de la profession et la maladie ne requiert pas que l’exercice de la profession soit la cause exclusive de la maladie.</w:t>
      </w:r>
      <w:r w:rsidR="00C01CF1">
        <w:rPr>
          <w:rFonts w:cs="Times New Roman"/>
          <w:lang w:val="fr-FR"/>
        </w:rPr>
        <w:t xml:space="preserve"> </w:t>
      </w:r>
      <w:r w:rsidR="00772350">
        <w:rPr>
          <w:rFonts w:cs="Times New Roman"/>
          <w:lang w:val="fr-FR"/>
        </w:rPr>
        <w:t>« </w:t>
      </w:r>
      <w:r w:rsidR="00C01CF1" w:rsidRPr="00C01CF1">
        <w:rPr>
          <w:rFonts w:cs="Times New Roman"/>
          <w:i/>
          <w:lang w:val="fr-FR"/>
        </w:rPr>
        <w:t>L’exercice de la profession ne doit pas être la cause « unique » ou « prépondérante » de la maladie mais elle doit être réelle ou manifeste.  Il s’agit d’une conception de la causalité proche de la thé</w:t>
      </w:r>
      <w:r w:rsidR="00C01CF1">
        <w:rPr>
          <w:rFonts w:cs="Times New Roman"/>
          <w:i/>
          <w:lang w:val="fr-FR"/>
        </w:rPr>
        <w:t>orie des conditions sachant qu’au contraire de l’exposition au risque professionnel, qui vise une potentialité, le lien de causalité prévu par l’article 30 bis doit être réel, plus que probable, en excluant tout doute raisonnable. </w:t>
      </w:r>
      <w:r w:rsidR="00C01CF1" w:rsidRPr="00C01CF1">
        <w:rPr>
          <w:rFonts w:cs="Times New Roman"/>
          <w:lang w:val="fr-FR"/>
        </w:rPr>
        <w:t>»</w:t>
      </w:r>
      <w:r w:rsidR="00C01CF1" w:rsidRPr="00D90372">
        <w:rPr>
          <w:rStyle w:val="Appelnotedebasdep"/>
          <w:rFonts w:cs="Times New Roman"/>
          <w:vertAlign w:val="superscript"/>
          <w:lang w:val="fr-FR"/>
        </w:rPr>
        <w:footnoteReference w:id="24"/>
      </w:r>
    </w:p>
    <w:p w14:paraId="192CF428" w14:textId="77777777" w:rsidR="00302E61" w:rsidRDefault="00302E61" w:rsidP="00302E61">
      <w:pPr>
        <w:tabs>
          <w:tab w:val="left" w:pos="-1440"/>
        </w:tabs>
        <w:snapToGrid w:val="0"/>
        <w:jc w:val="both"/>
        <w:rPr>
          <w:rFonts w:cs="Times New Roman"/>
          <w:lang w:val="fr-FR"/>
        </w:rPr>
      </w:pPr>
    </w:p>
    <w:p w14:paraId="6C9F6EBB" w14:textId="77777777" w:rsidR="00523396" w:rsidRPr="00476165" w:rsidRDefault="00523396" w:rsidP="00523396">
      <w:pPr>
        <w:tabs>
          <w:tab w:val="left" w:pos="-1440"/>
        </w:tabs>
        <w:snapToGrid w:val="0"/>
        <w:jc w:val="both"/>
        <w:rPr>
          <w:rFonts w:cs="Times New Roman"/>
          <w:lang w:val="fr-FR"/>
        </w:rPr>
      </w:pPr>
      <w:r>
        <w:rPr>
          <w:rFonts w:cs="Times New Roman"/>
          <w:lang w:val="fr-FR"/>
        </w:rPr>
        <w:t>Ainsi, i</w:t>
      </w:r>
      <w:r w:rsidRPr="00476165">
        <w:rPr>
          <w:rFonts w:cs="Times New Roman"/>
          <w:lang w:val="fr-FR"/>
        </w:rPr>
        <w:t>l y a causalité lorsque la maladie ne serait pas survenue ou aurait été moins grave sans l’exercice de la profession.</w:t>
      </w:r>
    </w:p>
    <w:p w14:paraId="3B67F1B9" w14:textId="77777777" w:rsidR="00523396" w:rsidRPr="00476165" w:rsidRDefault="00523396" w:rsidP="00302E61">
      <w:pPr>
        <w:tabs>
          <w:tab w:val="left" w:pos="-1440"/>
        </w:tabs>
        <w:snapToGrid w:val="0"/>
        <w:jc w:val="both"/>
        <w:rPr>
          <w:rFonts w:cs="Times New Roman"/>
          <w:lang w:val="fr-FR"/>
        </w:rPr>
      </w:pPr>
    </w:p>
    <w:p w14:paraId="1DB10E5E" w14:textId="77777777" w:rsidR="00302E61" w:rsidRPr="00476165" w:rsidRDefault="00523396" w:rsidP="00302E61">
      <w:pPr>
        <w:tabs>
          <w:tab w:val="left" w:pos="-1440"/>
        </w:tabs>
        <w:snapToGrid w:val="0"/>
        <w:jc w:val="both"/>
        <w:rPr>
          <w:rFonts w:cs="Times New Roman"/>
          <w:lang w:val="fr-FR"/>
        </w:rPr>
      </w:pPr>
      <w:r>
        <w:rPr>
          <w:rFonts w:cs="Times New Roman"/>
          <w:lang w:val="fr-FR"/>
        </w:rPr>
        <w:t>Enfin</w:t>
      </w:r>
      <w:r w:rsidR="00302E61" w:rsidRPr="00476165">
        <w:rPr>
          <w:rFonts w:cs="Times New Roman"/>
          <w:lang w:val="fr-FR"/>
        </w:rPr>
        <w:t xml:space="preserve">, </w:t>
      </w:r>
      <w:r w:rsidR="00C01CF1">
        <w:rPr>
          <w:rFonts w:cs="Times New Roman"/>
          <w:lang w:val="fr-FR"/>
        </w:rPr>
        <w:t>ledit article 30 bis</w:t>
      </w:r>
      <w:r w:rsidR="00302E61" w:rsidRPr="00476165">
        <w:rPr>
          <w:rFonts w:cs="Times New Roman"/>
          <w:lang w:val="fr-FR"/>
        </w:rPr>
        <w:t xml:space="preserve"> n’exclut pas une prédisposition.</w:t>
      </w:r>
    </w:p>
    <w:p w14:paraId="2C80DC8E" w14:textId="77777777" w:rsidR="00302E61" w:rsidRDefault="00302E61" w:rsidP="00302E61">
      <w:pPr>
        <w:tabs>
          <w:tab w:val="left" w:pos="-1440"/>
        </w:tabs>
        <w:snapToGrid w:val="0"/>
        <w:jc w:val="both"/>
        <w:rPr>
          <w:rFonts w:cs="Times New Roman"/>
          <w:lang w:val="fr-FR"/>
        </w:rPr>
      </w:pPr>
    </w:p>
    <w:p w14:paraId="6699F419" w14:textId="77777777" w:rsidR="008845D8" w:rsidRPr="00476165" w:rsidRDefault="008845D8" w:rsidP="00302E61">
      <w:pPr>
        <w:tabs>
          <w:tab w:val="left" w:pos="-1440"/>
        </w:tabs>
        <w:snapToGrid w:val="0"/>
        <w:jc w:val="both"/>
        <w:rPr>
          <w:rFonts w:cs="Times New Roman"/>
          <w:lang w:val="fr-FR"/>
        </w:rPr>
      </w:pPr>
    </w:p>
    <w:p w14:paraId="3B364BFB" w14:textId="77777777" w:rsidR="007E7C7C" w:rsidRPr="008845D8" w:rsidRDefault="007E7C7C" w:rsidP="007E7C7C">
      <w:pPr>
        <w:pStyle w:val="Paragraphedeliste"/>
        <w:numPr>
          <w:ilvl w:val="0"/>
          <w:numId w:val="20"/>
        </w:numPr>
        <w:tabs>
          <w:tab w:val="left" w:pos="-1440"/>
        </w:tabs>
        <w:snapToGrid w:val="0"/>
        <w:jc w:val="both"/>
        <w:rPr>
          <w:rFonts w:cs="Times New Roman"/>
          <w:b/>
          <w:bCs/>
          <w:lang w:val="fr-FR"/>
        </w:rPr>
      </w:pPr>
      <w:r w:rsidRPr="008845D8">
        <w:rPr>
          <w:rFonts w:cs="Times New Roman"/>
          <w:b/>
          <w:bCs/>
          <w:lang w:val="fr-FR"/>
        </w:rPr>
        <w:t>En l’espèce</w:t>
      </w:r>
      <w:r w:rsidR="008845D8">
        <w:rPr>
          <w:rFonts w:cs="Times New Roman"/>
          <w:b/>
          <w:bCs/>
          <w:lang w:val="fr-FR"/>
        </w:rPr>
        <w:t>.</w:t>
      </w:r>
    </w:p>
    <w:p w14:paraId="2D0DC16A" w14:textId="77777777" w:rsidR="00302E61" w:rsidRPr="007E7C7C" w:rsidRDefault="00302E61" w:rsidP="007E7C7C">
      <w:pPr>
        <w:tabs>
          <w:tab w:val="left" w:pos="-1440"/>
        </w:tabs>
        <w:snapToGrid w:val="0"/>
        <w:jc w:val="both"/>
        <w:rPr>
          <w:rFonts w:cs="Times New Roman"/>
          <w:b/>
          <w:bCs/>
          <w:lang w:val="fr-FR"/>
        </w:rPr>
      </w:pPr>
    </w:p>
    <w:p w14:paraId="03C1C233"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La partie demanderesse est née le .</w:t>
      </w:r>
    </w:p>
    <w:p w14:paraId="3B43C4F7"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Elle décrit sa carrière professionnelle.</w:t>
      </w:r>
    </w:p>
    <w:p w14:paraId="31E8188A" w14:textId="77777777" w:rsidR="00302E61" w:rsidRDefault="00302E61" w:rsidP="00302E61">
      <w:pPr>
        <w:tabs>
          <w:tab w:val="left" w:pos="-1440"/>
        </w:tabs>
        <w:snapToGrid w:val="0"/>
        <w:jc w:val="both"/>
        <w:rPr>
          <w:rFonts w:cs="Times New Roman"/>
          <w:iCs/>
          <w:lang w:val="fr-FR"/>
        </w:rPr>
      </w:pPr>
      <w:r w:rsidRPr="00067E83">
        <w:rPr>
          <w:rFonts w:cs="Times New Roman"/>
          <w:iCs/>
          <w:lang w:val="fr-FR"/>
        </w:rPr>
        <w:t>Les parties sont contraires tant sous l’angle « maladie » que sous l’angle « exposition au risque », et même sous l’angle « lien de causalité ».</w:t>
      </w:r>
    </w:p>
    <w:p w14:paraId="300233AF" w14:textId="77777777" w:rsidR="00EB0871" w:rsidRPr="00476165" w:rsidRDefault="00EB0871" w:rsidP="00302E61">
      <w:pPr>
        <w:tabs>
          <w:tab w:val="left" w:pos="-1440"/>
        </w:tabs>
        <w:snapToGrid w:val="0"/>
        <w:jc w:val="both"/>
        <w:rPr>
          <w:rFonts w:cs="Times New Roman"/>
          <w:iCs/>
          <w:lang w:val="fr-FR"/>
        </w:rPr>
      </w:pPr>
    </w:p>
    <w:p w14:paraId="5F859A56" w14:textId="77777777" w:rsidR="00302E61" w:rsidRDefault="00302E61" w:rsidP="00302E61">
      <w:pPr>
        <w:tabs>
          <w:tab w:val="left" w:pos="-1440"/>
        </w:tabs>
        <w:snapToGrid w:val="0"/>
        <w:jc w:val="both"/>
        <w:rPr>
          <w:rFonts w:cs="Times New Roman"/>
          <w:lang w:val="fr-FR"/>
        </w:rPr>
      </w:pPr>
    </w:p>
    <w:p w14:paraId="237EC650"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 xml:space="preserve">Le tribunal constate que la partie demanderesse, sur qui repose, comme précisé ci-dessus, la charge de la preuve de 3 éléments (à savoir l’existence de la maladie en question, de l’exposition au risque professionnel </w:t>
      </w:r>
      <w:r w:rsidRPr="00476165">
        <w:rPr>
          <w:rFonts w:cs="Times New Roman"/>
          <w:b/>
          <w:bCs/>
          <w:lang w:val="fr-FR"/>
        </w:rPr>
        <w:t>et du lien de causalité direct et déterminant</w:t>
      </w:r>
      <w:r w:rsidRPr="00476165">
        <w:rPr>
          <w:rFonts w:cs="Times New Roman"/>
          <w:lang w:val="fr-FR"/>
        </w:rPr>
        <w:t xml:space="preserve"> entre la maladie et l'exposition au risque professionnel de cette maladie)</w:t>
      </w:r>
      <w:r w:rsidRPr="00476165">
        <w:rPr>
          <w:rFonts w:cs="Times New Roman"/>
          <w:i/>
          <w:iCs/>
          <w:lang w:val="fr-FR"/>
        </w:rPr>
        <w:t xml:space="preserve"> </w:t>
      </w:r>
      <w:r w:rsidRPr="00476165">
        <w:rPr>
          <w:rFonts w:cs="Times New Roman"/>
          <w:lang w:val="fr-FR"/>
        </w:rPr>
        <w:t xml:space="preserve">dépose des documents (description de sa carrière professionnelle, rapports médicaux circonstanciés,…) qui sont susceptibles d’établir l’existence de la maladie en question, de l’exposition au risque, et du lien de causalité entre ces deux concepts juridiques tels que précisés ci-dessus. </w:t>
      </w:r>
    </w:p>
    <w:p w14:paraId="518AA235" w14:textId="77777777" w:rsidR="00302E61" w:rsidRPr="00476165" w:rsidRDefault="00302E61" w:rsidP="00302E61">
      <w:pPr>
        <w:tabs>
          <w:tab w:val="left" w:pos="-1440"/>
        </w:tabs>
        <w:snapToGrid w:val="0"/>
        <w:jc w:val="both"/>
        <w:rPr>
          <w:rFonts w:cs="Times New Roman"/>
          <w:lang w:val="fr-FR"/>
        </w:rPr>
      </w:pPr>
    </w:p>
    <w:p w14:paraId="4E7DBF78" w14:textId="77777777" w:rsidR="00302E61" w:rsidRDefault="00302E61" w:rsidP="00302E61">
      <w:pPr>
        <w:tabs>
          <w:tab w:val="left" w:pos="-1440"/>
        </w:tabs>
        <w:snapToGrid w:val="0"/>
        <w:jc w:val="both"/>
        <w:rPr>
          <w:rFonts w:cs="Times New Roman"/>
          <w:lang w:val="fr-FR"/>
        </w:rPr>
      </w:pPr>
      <w:r w:rsidRPr="00476165">
        <w:rPr>
          <w:rFonts w:cs="Times New Roman"/>
          <w:lang w:val="fr-FR"/>
        </w:rPr>
        <w:t xml:space="preserve">Dès lors, il y a commencement de preuve des trois éléments requis (dans le système </w:t>
      </w:r>
      <w:r w:rsidRPr="00476165">
        <w:rPr>
          <w:rFonts w:cs="Times New Roman"/>
          <w:lang w:val="fr-FR"/>
        </w:rPr>
        <w:lastRenderedPageBreak/>
        <w:t>ouvert, le lien de causalité n’est pas présumé exister).</w:t>
      </w:r>
    </w:p>
    <w:p w14:paraId="49272DDE" w14:textId="77777777" w:rsidR="004E3F2B" w:rsidRDefault="004E3F2B" w:rsidP="00302E61">
      <w:pPr>
        <w:tabs>
          <w:tab w:val="left" w:pos="-1440"/>
        </w:tabs>
        <w:snapToGrid w:val="0"/>
        <w:jc w:val="both"/>
        <w:rPr>
          <w:rFonts w:cs="Times New Roman"/>
          <w:lang w:val="fr-FR"/>
        </w:rPr>
      </w:pPr>
    </w:p>
    <w:p w14:paraId="7F177E3A" w14:textId="77777777" w:rsidR="007E7C7C" w:rsidRPr="008845D8" w:rsidRDefault="007E7C7C" w:rsidP="00302E61">
      <w:pPr>
        <w:tabs>
          <w:tab w:val="left" w:pos="-1440"/>
        </w:tabs>
        <w:snapToGrid w:val="0"/>
        <w:jc w:val="both"/>
        <w:rPr>
          <w:rFonts w:cs="Times New Roman"/>
          <w:b/>
          <w:lang w:val="fr-FR"/>
        </w:rPr>
      </w:pPr>
    </w:p>
    <w:p w14:paraId="43527C71" w14:textId="77777777" w:rsidR="007E7C7C" w:rsidRPr="008845D8" w:rsidRDefault="007E7C7C" w:rsidP="007E7C7C">
      <w:pPr>
        <w:pStyle w:val="Paragraphedeliste"/>
        <w:numPr>
          <w:ilvl w:val="0"/>
          <w:numId w:val="15"/>
        </w:numPr>
        <w:tabs>
          <w:tab w:val="left" w:pos="-1440"/>
        </w:tabs>
        <w:snapToGrid w:val="0"/>
        <w:jc w:val="both"/>
        <w:rPr>
          <w:rFonts w:cs="Times New Roman"/>
          <w:b/>
          <w:lang w:val="fr-FR"/>
        </w:rPr>
      </w:pPr>
      <w:r w:rsidRPr="008845D8">
        <w:rPr>
          <w:rFonts w:cs="Times New Roman"/>
          <w:b/>
          <w:bCs/>
          <w:u w:val="single"/>
          <w:lang w:val="fr-FR"/>
        </w:rPr>
        <w:t>Qua</w:t>
      </w:r>
      <w:r w:rsidR="00541FE6">
        <w:rPr>
          <w:rFonts w:cs="Times New Roman"/>
          <w:b/>
          <w:bCs/>
          <w:u w:val="single"/>
          <w:lang w:val="fr-FR"/>
        </w:rPr>
        <w:t>nt à la maladie reprise sous le code 160622</w:t>
      </w:r>
      <w:r w:rsidRPr="008845D8">
        <w:rPr>
          <w:rFonts w:cs="Times New Roman"/>
          <w:b/>
          <w:lang w:val="fr-FR"/>
        </w:rPr>
        <w:t xml:space="preserve"> : </w:t>
      </w:r>
    </w:p>
    <w:p w14:paraId="4E7CE12D" w14:textId="77777777" w:rsidR="007E7C7C" w:rsidRDefault="007E7C7C" w:rsidP="00302E61">
      <w:pPr>
        <w:tabs>
          <w:tab w:val="left" w:pos="-1440"/>
        </w:tabs>
        <w:snapToGrid w:val="0"/>
        <w:jc w:val="both"/>
        <w:rPr>
          <w:rFonts w:cs="Times New Roman"/>
          <w:lang w:val="fr-FR"/>
        </w:rPr>
      </w:pPr>
    </w:p>
    <w:p w14:paraId="27D76B4B" w14:textId="77777777" w:rsidR="000F5636" w:rsidRPr="008845D8" w:rsidRDefault="000F5636" w:rsidP="000F5636">
      <w:pPr>
        <w:pStyle w:val="Paragraphedeliste"/>
        <w:numPr>
          <w:ilvl w:val="0"/>
          <w:numId w:val="26"/>
        </w:numPr>
        <w:tabs>
          <w:tab w:val="left" w:pos="-1440"/>
        </w:tabs>
        <w:snapToGrid w:val="0"/>
        <w:jc w:val="both"/>
        <w:rPr>
          <w:rFonts w:cs="Times New Roman"/>
          <w:b/>
          <w:bCs/>
          <w:lang w:val="fr-FR"/>
        </w:rPr>
      </w:pPr>
      <w:r w:rsidRPr="008845D8">
        <w:rPr>
          <w:rFonts w:cs="Times New Roman"/>
          <w:b/>
          <w:bCs/>
          <w:lang w:val="fr-FR"/>
        </w:rPr>
        <w:t>La maladie revendiquée.</w:t>
      </w:r>
    </w:p>
    <w:p w14:paraId="0E3BDDF6" w14:textId="77777777" w:rsidR="000F5636" w:rsidRDefault="000F5636" w:rsidP="00A64D61">
      <w:pPr>
        <w:tabs>
          <w:tab w:val="left" w:pos="-1440"/>
        </w:tabs>
        <w:snapToGrid w:val="0"/>
        <w:jc w:val="both"/>
        <w:rPr>
          <w:rFonts w:cs="Times New Roman"/>
          <w:bCs/>
          <w:lang w:val="fr-FR"/>
        </w:rPr>
      </w:pPr>
    </w:p>
    <w:p w14:paraId="29BEE54F" w14:textId="77777777" w:rsidR="00A64D61" w:rsidRPr="008E03D2" w:rsidRDefault="00A64D61" w:rsidP="00A64D61">
      <w:pPr>
        <w:tabs>
          <w:tab w:val="left" w:pos="-1440"/>
        </w:tabs>
        <w:snapToGrid w:val="0"/>
        <w:jc w:val="both"/>
        <w:rPr>
          <w:rFonts w:cs="Times New Roman"/>
        </w:rPr>
      </w:pPr>
      <w:r w:rsidRPr="008E03D2">
        <w:rPr>
          <w:rFonts w:cs="Times New Roman"/>
          <w:bCs/>
          <w:lang w:val="fr-FR"/>
        </w:rPr>
        <w:t xml:space="preserve">Le code 1.606.22 </w:t>
      </w:r>
      <w:r>
        <w:rPr>
          <w:rFonts w:cs="Times New Roman"/>
          <w:bCs/>
          <w:lang w:val="fr-FR"/>
        </w:rPr>
        <w:t>vise les</w:t>
      </w:r>
      <w:r w:rsidRPr="008E03D2">
        <w:rPr>
          <w:rFonts w:cs="Times New Roman"/>
          <w:bCs/>
          <w:lang w:val="fr-FR"/>
        </w:rPr>
        <w:t> : « </w:t>
      </w:r>
      <w:r w:rsidRPr="00235D94">
        <w:rPr>
          <w:rFonts w:cs="Times New Roman"/>
          <w:i/>
        </w:rPr>
        <w:t xml:space="preserve">Maladies atteignant les tendons, les gaines tendineuses et les insertions musculaires et tendineuses des membres supérieurs dues à une </w:t>
      </w:r>
      <w:proofErr w:type="spellStart"/>
      <w:r w:rsidRPr="00235D94">
        <w:rPr>
          <w:rFonts w:cs="Times New Roman"/>
          <w:i/>
        </w:rPr>
        <w:t>hypersollicitation</w:t>
      </w:r>
      <w:proofErr w:type="spellEnd"/>
      <w:r w:rsidRPr="00235D94">
        <w:rPr>
          <w:rFonts w:cs="Times New Roman"/>
          <w:i/>
        </w:rPr>
        <w:t xml:space="preserve"> de ces structures par des mouvements nécessitant de la force et présentant un caractère répétitif, ou par des postures défavorables</w:t>
      </w:r>
      <w:r w:rsidRPr="008E03D2">
        <w:rPr>
          <w:rFonts w:cs="Times New Roman"/>
        </w:rPr>
        <w:t>. »</w:t>
      </w:r>
    </w:p>
    <w:p w14:paraId="1B6FD15B" w14:textId="77777777" w:rsidR="007E7C7C" w:rsidRDefault="007E7C7C" w:rsidP="00302E61">
      <w:pPr>
        <w:tabs>
          <w:tab w:val="left" w:pos="-1440"/>
        </w:tabs>
        <w:snapToGrid w:val="0"/>
        <w:jc w:val="both"/>
        <w:rPr>
          <w:rFonts w:cs="Times New Roman"/>
          <w:bCs/>
        </w:rPr>
      </w:pPr>
    </w:p>
    <w:p w14:paraId="2BBF58BE" w14:textId="77777777" w:rsidR="000F5636" w:rsidRPr="008845D8" w:rsidRDefault="000F5636" w:rsidP="000F5636">
      <w:pPr>
        <w:pStyle w:val="Paragraphedeliste"/>
        <w:numPr>
          <w:ilvl w:val="0"/>
          <w:numId w:val="26"/>
        </w:numPr>
        <w:tabs>
          <w:tab w:val="left" w:pos="-1440"/>
        </w:tabs>
        <w:snapToGrid w:val="0"/>
        <w:jc w:val="both"/>
        <w:rPr>
          <w:rFonts w:cs="Times New Roman"/>
          <w:b/>
          <w:bCs/>
        </w:rPr>
      </w:pPr>
      <w:r w:rsidRPr="008845D8">
        <w:rPr>
          <w:rFonts w:cs="Times New Roman"/>
          <w:b/>
          <w:bCs/>
        </w:rPr>
        <w:t>L’exposition au risque professionnel.</w:t>
      </w:r>
    </w:p>
    <w:p w14:paraId="66BC2BD7" w14:textId="77777777" w:rsidR="000F5636" w:rsidRPr="008845D8" w:rsidRDefault="000F5636" w:rsidP="00302E61">
      <w:pPr>
        <w:tabs>
          <w:tab w:val="left" w:pos="-1440"/>
        </w:tabs>
        <w:snapToGrid w:val="0"/>
        <w:jc w:val="both"/>
        <w:rPr>
          <w:rFonts w:cs="Times New Roman"/>
          <w:b/>
          <w:bCs/>
        </w:rPr>
      </w:pPr>
    </w:p>
    <w:p w14:paraId="5BEAC77F" w14:textId="77777777" w:rsidR="000F5636" w:rsidRDefault="00541FE6" w:rsidP="00302E61">
      <w:pPr>
        <w:tabs>
          <w:tab w:val="left" w:pos="-1440"/>
        </w:tabs>
        <w:snapToGrid w:val="0"/>
        <w:jc w:val="both"/>
        <w:rPr>
          <w:rFonts w:cs="Times New Roman"/>
          <w:lang w:val="fr-FR"/>
        </w:rPr>
      </w:pPr>
      <w:r>
        <w:rPr>
          <w:rFonts w:cs="Times New Roman"/>
          <w:lang w:val="fr-FR"/>
        </w:rPr>
        <w:t>Pour définir cette notion, le tribunal renvoie au point 4.b.</w:t>
      </w:r>
    </w:p>
    <w:p w14:paraId="58F43EA8" w14:textId="77777777" w:rsidR="00541FE6" w:rsidRDefault="00541FE6" w:rsidP="00302E61">
      <w:pPr>
        <w:tabs>
          <w:tab w:val="left" w:pos="-1440"/>
        </w:tabs>
        <w:snapToGrid w:val="0"/>
        <w:jc w:val="both"/>
        <w:rPr>
          <w:rFonts w:cs="Times New Roman"/>
          <w:lang w:val="fr-FR"/>
        </w:rPr>
      </w:pPr>
    </w:p>
    <w:p w14:paraId="2D14A5F9" w14:textId="77777777" w:rsidR="00541FE6" w:rsidRDefault="00541FE6" w:rsidP="00302E61">
      <w:pPr>
        <w:tabs>
          <w:tab w:val="left" w:pos="-1440"/>
        </w:tabs>
        <w:snapToGrid w:val="0"/>
        <w:jc w:val="both"/>
        <w:rPr>
          <w:rFonts w:cs="Times New Roman"/>
          <w:lang w:val="fr-FR"/>
        </w:rPr>
      </w:pPr>
    </w:p>
    <w:p w14:paraId="0C300D5D" w14:textId="77777777" w:rsidR="00837DB2" w:rsidRPr="008845D8" w:rsidRDefault="00837DB2" w:rsidP="00837DB2">
      <w:pPr>
        <w:pStyle w:val="Paragraphedeliste"/>
        <w:numPr>
          <w:ilvl w:val="0"/>
          <w:numId w:val="26"/>
        </w:numPr>
        <w:tabs>
          <w:tab w:val="left" w:pos="-1440"/>
        </w:tabs>
        <w:snapToGrid w:val="0"/>
        <w:jc w:val="both"/>
        <w:rPr>
          <w:rFonts w:cs="Times New Roman"/>
          <w:b/>
          <w:lang w:val="fr-FR"/>
        </w:rPr>
      </w:pPr>
      <w:r w:rsidRPr="008845D8">
        <w:rPr>
          <w:rFonts w:cs="Times New Roman"/>
          <w:b/>
          <w:lang w:val="fr-FR"/>
        </w:rPr>
        <w:t>En l’espèce.</w:t>
      </w:r>
    </w:p>
    <w:p w14:paraId="2A7D5C56" w14:textId="77777777" w:rsidR="00837DB2" w:rsidRDefault="00837DB2" w:rsidP="00837DB2">
      <w:pPr>
        <w:tabs>
          <w:tab w:val="left" w:pos="-1440"/>
        </w:tabs>
        <w:snapToGrid w:val="0"/>
        <w:jc w:val="both"/>
        <w:rPr>
          <w:rFonts w:cs="Times New Roman"/>
          <w:lang w:val="fr-FR"/>
        </w:rPr>
      </w:pPr>
    </w:p>
    <w:p w14:paraId="264C27E2" w14:textId="77777777" w:rsidR="00B722A9" w:rsidRPr="00060944" w:rsidRDefault="00B722A9" w:rsidP="00B722A9">
      <w:pPr>
        <w:tabs>
          <w:tab w:val="left" w:pos="-1440"/>
        </w:tabs>
        <w:snapToGrid w:val="0"/>
        <w:jc w:val="both"/>
        <w:rPr>
          <w:rFonts w:cs="Times New Roman"/>
          <w:lang w:val="fr-FR"/>
        </w:rPr>
      </w:pPr>
      <w:r w:rsidRPr="008F76F3">
        <w:rPr>
          <w:rFonts w:cs="Times New Roman"/>
          <w:lang w:val="fr-FR"/>
        </w:rPr>
        <w:t>Les parties s’opposent sur</w:t>
      </w:r>
      <w:r w:rsidRPr="002449AF">
        <w:rPr>
          <w:rFonts w:cs="Times New Roman"/>
          <w:lang w:val="fr-FR"/>
        </w:rPr>
        <w:t xml:space="preserve"> l</w:t>
      </w:r>
      <w:r>
        <w:rPr>
          <w:rFonts w:cs="Times New Roman"/>
          <w:lang w:val="fr-FR"/>
        </w:rPr>
        <w:t>’existence de la maladie professionnelle ainsi que sur l</w:t>
      </w:r>
      <w:r w:rsidRPr="002449AF">
        <w:rPr>
          <w:rFonts w:cs="Times New Roman"/>
          <w:lang w:val="fr-FR"/>
        </w:rPr>
        <w:t>e principe de l’exposition au risque de contracter la maladie professionnelle</w:t>
      </w:r>
      <w:r w:rsidRPr="00060944">
        <w:rPr>
          <w:rFonts w:cs="Times New Roman"/>
          <w:lang w:val="fr-FR"/>
        </w:rPr>
        <w:t xml:space="preserve"> reprise sous le code 1.606.22.</w:t>
      </w:r>
    </w:p>
    <w:p w14:paraId="52A2DE5F" w14:textId="77777777" w:rsidR="00B722A9" w:rsidRPr="00060944" w:rsidRDefault="00B722A9" w:rsidP="00B722A9">
      <w:pPr>
        <w:tabs>
          <w:tab w:val="left" w:pos="-1440"/>
        </w:tabs>
        <w:snapToGrid w:val="0"/>
        <w:jc w:val="both"/>
        <w:rPr>
          <w:rFonts w:cs="Times New Roman"/>
        </w:rPr>
      </w:pPr>
    </w:p>
    <w:p w14:paraId="4D39B11C" w14:textId="77777777" w:rsidR="00B722A9" w:rsidRDefault="00B722A9" w:rsidP="00B722A9">
      <w:pPr>
        <w:tabs>
          <w:tab w:val="left" w:pos="-1440"/>
        </w:tabs>
        <w:snapToGrid w:val="0"/>
        <w:jc w:val="both"/>
        <w:rPr>
          <w:rFonts w:cs="Times New Roman"/>
        </w:rPr>
      </w:pPr>
      <w:r w:rsidRPr="008F5B59">
        <w:rPr>
          <w:rFonts w:cs="Times New Roman"/>
        </w:rPr>
        <w:t xml:space="preserve">Le rapport médical produit par la partie demanderesse à l’appui de sa demande fait état de </w:t>
      </w:r>
      <w:r w:rsidRPr="00DF5A94">
        <w:rPr>
          <w:rFonts w:cs="Times New Roman"/>
          <w:b/>
        </w:rPr>
        <w:t>l’existence de cette maladie</w:t>
      </w:r>
      <w:r w:rsidRPr="008F5B59">
        <w:rPr>
          <w:rFonts w:cs="Times New Roman"/>
        </w:rPr>
        <w:t xml:space="preserve"> et d’une incapacité permanente consécutive.  </w:t>
      </w:r>
    </w:p>
    <w:p w14:paraId="394C6DC4" w14:textId="77777777" w:rsidR="00B722A9" w:rsidRDefault="00B722A9" w:rsidP="00B722A9">
      <w:pPr>
        <w:tabs>
          <w:tab w:val="left" w:pos="-1440"/>
        </w:tabs>
        <w:snapToGrid w:val="0"/>
        <w:jc w:val="both"/>
        <w:rPr>
          <w:rFonts w:cs="Times New Roman"/>
        </w:rPr>
      </w:pPr>
      <w:r>
        <w:rPr>
          <w:rFonts w:cs="Times New Roman"/>
        </w:rPr>
        <w:t>Par ailleurs, elle dépose différentes pièces justifiant sa demande.</w:t>
      </w:r>
    </w:p>
    <w:p w14:paraId="441BD5F0" w14:textId="77777777" w:rsidR="00B722A9" w:rsidRDefault="00B722A9" w:rsidP="00B722A9">
      <w:pPr>
        <w:tabs>
          <w:tab w:val="left" w:pos="-1440"/>
        </w:tabs>
        <w:snapToGrid w:val="0"/>
        <w:jc w:val="both"/>
        <w:rPr>
          <w:rFonts w:cs="Times New Roman"/>
        </w:rPr>
      </w:pPr>
      <w:r>
        <w:rPr>
          <w:rFonts w:cs="Times New Roman"/>
        </w:rPr>
        <w:t xml:space="preserve">Ainsi, elle communique des </w:t>
      </w:r>
      <w:r w:rsidR="002E4D2B">
        <w:rPr>
          <w:rFonts w:cs="Times New Roman"/>
        </w:rPr>
        <w:t>rapports</w:t>
      </w:r>
      <w:r>
        <w:rPr>
          <w:rFonts w:cs="Times New Roman"/>
        </w:rPr>
        <w:t xml:space="preserve"> médicaux faisant état d</w:t>
      </w:r>
      <w:r w:rsidR="002E4D2B">
        <w:rPr>
          <w:rFonts w:cs="Times New Roman"/>
        </w:rPr>
        <w:t>e ses revendications</w:t>
      </w:r>
      <w:r>
        <w:rPr>
          <w:rFonts w:cs="Times New Roman"/>
        </w:rPr>
        <w:t>.</w:t>
      </w:r>
    </w:p>
    <w:p w14:paraId="7AEB3AF1" w14:textId="77777777" w:rsidR="00B722A9" w:rsidRDefault="00B722A9" w:rsidP="00B722A9">
      <w:pPr>
        <w:tabs>
          <w:tab w:val="left" w:pos="-1440"/>
        </w:tabs>
        <w:snapToGrid w:val="0"/>
        <w:jc w:val="both"/>
        <w:rPr>
          <w:rFonts w:cs="Times New Roman"/>
        </w:rPr>
      </w:pPr>
    </w:p>
    <w:p w14:paraId="2D4118D4" w14:textId="77777777" w:rsidR="00B722A9" w:rsidRDefault="00B722A9" w:rsidP="00B722A9">
      <w:pPr>
        <w:tabs>
          <w:tab w:val="left" w:pos="-1440"/>
        </w:tabs>
        <w:snapToGrid w:val="0"/>
        <w:jc w:val="both"/>
        <w:rPr>
          <w:rFonts w:cs="Times New Roman"/>
        </w:rPr>
      </w:pPr>
    </w:p>
    <w:p w14:paraId="3562386F" w14:textId="77777777" w:rsidR="00B722A9" w:rsidRPr="00060944" w:rsidRDefault="00B722A9" w:rsidP="00B722A9">
      <w:pPr>
        <w:tabs>
          <w:tab w:val="left" w:pos="-1440"/>
        </w:tabs>
        <w:snapToGrid w:val="0"/>
        <w:jc w:val="both"/>
        <w:rPr>
          <w:rFonts w:cs="Times New Roman"/>
        </w:rPr>
      </w:pPr>
      <w:r>
        <w:rPr>
          <w:rFonts w:cs="Times New Roman"/>
        </w:rPr>
        <w:t>De plus, elle</w:t>
      </w:r>
      <w:r w:rsidRPr="008F5B59">
        <w:rPr>
          <w:rFonts w:cs="Times New Roman"/>
        </w:rPr>
        <w:t xml:space="preserve"> décrit également les fonctions exercées et les raisons qui lui permettent de prétendre avoir été </w:t>
      </w:r>
      <w:r w:rsidRPr="00DF5A94">
        <w:rPr>
          <w:rFonts w:cs="Times New Roman"/>
          <w:b/>
        </w:rPr>
        <w:t>exposée au risque de la maladie professionnelle</w:t>
      </w:r>
      <w:r w:rsidRPr="008F5B59">
        <w:rPr>
          <w:rFonts w:cs="Times New Roman"/>
        </w:rPr>
        <w:t>.</w:t>
      </w:r>
    </w:p>
    <w:p w14:paraId="141BD5BD" w14:textId="77777777" w:rsidR="00B722A9" w:rsidRPr="00060944" w:rsidRDefault="00B722A9" w:rsidP="00B722A9">
      <w:pPr>
        <w:tabs>
          <w:tab w:val="left" w:pos="-1440"/>
        </w:tabs>
        <w:snapToGrid w:val="0"/>
        <w:jc w:val="both"/>
        <w:rPr>
          <w:rFonts w:cs="Times New Roman"/>
        </w:rPr>
      </w:pPr>
      <w:r w:rsidRPr="00060944">
        <w:rPr>
          <w:rFonts w:cs="Times New Roman"/>
        </w:rPr>
        <w:t xml:space="preserve"> </w:t>
      </w:r>
    </w:p>
    <w:p w14:paraId="0AE37E38" w14:textId="77777777" w:rsidR="00B722A9" w:rsidRPr="00060944" w:rsidRDefault="00B722A9" w:rsidP="00B722A9">
      <w:pPr>
        <w:tabs>
          <w:tab w:val="left" w:pos="-1440"/>
        </w:tabs>
        <w:snapToGrid w:val="0"/>
        <w:jc w:val="both"/>
        <w:rPr>
          <w:rFonts w:cs="Times New Roman"/>
          <w:lang w:val="fr-FR"/>
        </w:rPr>
      </w:pPr>
      <w:r w:rsidRPr="00060944">
        <w:rPr>
          <w:rFonts w:cs="Times New Roman"/>
          <w:lang w:val="fr-FR"/>
        </w:rPr>
        <w:t>En d’autres termes, il y a commencement de preuve de l’exposition au risque (code 1.606.22) et de l’existence de la maladie professionnelle (dans le système fermé, le lien de causalité est présumé exister entre ces deux éléments, s’ils sont établis).</w:t>
      </w:r>
    </w:p>
    <w:p w14:paraId="546DD38E" w14:textId="77777777" w:rsidR="00837DB2" w:rsidRPr="008845D8" w:rsidRDefault="00837DB2" w:rsidP="00837DB2">
      <w:pPr>
        <w:tabs>
          <w:tab w:val="left" w:pos="-1440"/>
        </w:tabs>
        <w:snapToGrid w:val="0"/>
        <w:jc w:val="both"/>
        <w:rPr>
          <w:rFonts w:cs="Times New Roman"/>
          <w:b/>
          <w:u w:val="single"/>
          <w:lang w:val="fr-FR"/>
        </w:rPr>
      </w:pPr>
    </w:p>
    <w:p w14:paraId="1459C4AE" w14:textId="77777777" w:rsidR="007E7C7C" w:rsidRPr="008845D8" w:rsidRDefault="007E7C7C" w:rsidP="00302E61">
      <w:pPr>
        <w:tabs>
          <w:tab w:val="left" w:pos="-1440"/>
        </w:tabs>
        <w:snapToGrid w:val="0"/>
        <w:jc w:val="both"/>
        <w:rPr>
          <w:rFonts w:cs="Times New Roman"/>
          <w:b/>
          <w:u w:val="single"/>
          <w:lang w:val="fr-FR"/>
        </w:rPr>
      </w:pPr>
    </w:p>
    <w:p w14:paraId="52DB15BC" w14:textId="77777777" w:rsidR="007E7C7C" w:rsidRPr="008845D8" w:rsidRDefault="007E7C7C" w:rsidP="007E7C7C">
      <w:pPr>
        <w:pStyle w:val="Paragraphedeliste"/>
        <w:numPr>
          <w:ilvl w:val="0"/>
          <w:numId w:val="15"/>
        </w:numPr>
        <w:tabs>
          <w:tab w:val="left" w:pos="-1440"/>
        </w:tabs>
        <w:snapToGrid w:val="0"/>
        <w:jc w:val="both"/>
        <w:rPr>
          <w:rFonts w:cs="Times New Roman"/>
          <w:b/>
          <w:u w:val="single"/>
          <w:lang w:val="fr-FR"/>
        </w:rPr>
      </w:pPr>
      <w:r w:rsidRPr="008845D8">
        <w:rPr>
          <w:rFonts w:cs="Times New Roman"/>
          <w:b/>
          <w:u w:val="single"/>
          <w:lang w:val="fr-FR"/>
        </w:rPr>
        <w:t>La mesure d’expertise.</w:t>
      </w:r>
    </w:p>
    <w:p w14:paraId="39DDB4EC" w14:textId="77777777" w:rsidR="007E7C7C" w:rsidRDefault="007E7C7C" w:rsidP="00302E61">
      <w:pPr>
        <w:tabs>
          <w:tab w:val="left" w:pos="-1440"/>
        </w:tabs>
        <w:snapToGrid w:val="0"/>
        <w:jc w:val="both"/>
        <w:rPr>
          <w:rFonts w:cs="Times New Roman"/>
          <w:lang w:val="fr-FR"/>
        </w:rPr>
      </w:pPr>
    </w:p>
    <w:p w14:paraId="0972A398" w14:textId="77777777" w:rsidR="00B722A9" w:rsidRDefault="00B722A9" w:rsidP="00B722A9">
      <w:pPr>
        <w:tabs>
          <w:tab w:val="left" w:pos="-1440"/>
        </w:tabs>
        <w:snapToGrid w:val="0"/>
        <w:jc w:val="both"/>
        <w:rPr>
          <w:rFonts w:cs="Times New Roman"/>
        </w:rPr>
      </w:pPr>
      <w:r w:rsidRPr="00060944">
        <w:rPr>
          <w:rFonts w:cs="Times New Roman"/>
        </w:rPr>
        <w:t>L’expertise judiciaire est un mode légal de preuve</w:t>
      </w:r>
      <w:r>
        <w:rPr>
          <w:rFonts w:cs="Times New Roman"/>
        </w:rPr>
        <w:t>.</w:t>
      </w:r>
    </w:p>
    <w:p w14:paraId="0DFABA3D" w14:textId="77777777" w:rsidR="00B722A9" w:rsidRDefault="00B722A9" w:rsidP="00302E61">
      <w:pPr>
        <w:tabs>
          <w:tab w:val="left" w:pos="-1440"/>
        </w:tabs>
        <w:snapToGrid w:val="0"/>
        <w:jc w:val="both"/>
        <w:rPr>
          <w:rFonts w:cs="Times New Roman"/>
          <w:lang w:val="fr-FR"/>
        </w:rPr>
      </w:pPr>
    </w:p>
    <w:p w14:paraId="66C77C97" w14:textId="77777777" w:rsidR="00302E61" w:rsidRDefault="007E7C7C" w:rsidP="00302E61">
      <w:pPr>
        <w:tabs>
          <w:tab w:val="left" w:pos="-1440"/>
        </w:tabs>
        <w:snapToGrid w:val="0"/>
        <w:jc w:val="both"/>
        <w:rPr>
          <w:rFonts w:cs="Times New Roman"/>
          <w:lang w:val="fr-FR"/>
        </w:rPr>
      </w:pPr>
      <w:r>
        <w:rPr>
          <w:rFonts w:cs="Times New Roman"/>
          <w:lang w:val="fr-FR"/>
        </w:rPr>
        <w:t>L</w:t>
      </w:r>
      <w:r w:rsidR="00302E61">
        <w:rPr>
          <w:rFonts w:cs="Times New Roman"/>
          <w:lang w:val="fr-FR"/>
        </w:rPr>
        <w:t xml:space="preserve">e tribunal estime que le </w:t>
      </w:r>
      <w:r w:rsidR="00302E61" w:rsidRPr="00476165">
        <w:rPr>
          <w:rFonts w:cs="Times New Roman"/>
          <w:lang w:val="fr-FR"/>
        </w:rPr>
        <w:t xml:space="preserve">litige est avant tout </w:t>
      </w:r>
      <w:r w:rsidR="00302E61" w:rsidRPr="00476165">
        <w:rPr>
          <w:rFonts w:cs="Times New Roman"/>
          <w:u w:val="single"/>
          <w:lang w:val="fr-FR"/>
        </w:rPr>
        <w:t>d’ordre médical</w:t>
      </w:r>
      <w:r w:rsidR="00302E61" w:rsidRPr="00476165">
        <w:rPr>
          <w:rFonts w:cs="Times New Roman"/>
          <w:lang w:val="fr-FR"/>
        </w:rPr>
        <w:t xml:space="preserve"> et </w:t>
      </w:r>
      <w:r w:rsidR="00302E61">
        <w:rPr>
          <w:rFonts w:cs="Times New Roman"/>
          <w:lang w:val="fr-FR"/>
        </w:rPr>
        <w:t>il</w:t>
      </w:r>
      <w:r w:rsidR="00302E61" w:rsidRPr="00476165">
        <w:rPr>
          <w:rFonts w:cs="Times New Roman"/>
          <w:lang w:val="fr-FR"/>
        </w:rPr>
        <w:t xml:space="preserve"> ne possède pas les connaissances scientifiques et techniques lui permettant d’apprécier le bien-fondé des prétentions de la partie demanderesse telles qu’appuyées par son médecin conseil.</w:t>
      </w:r>
    </w:p>
    <w:p w14:paraId="0E03A32C" w14:textId="77777777" w:rsidR="00302E61" w:rsidRPr="00476165" w:rsidRDefault="00302E61" w:rsidP="00302E61">
      <w:pPr>
        <w:tabs>
          <w:tab w:val="left" w:pos="-1440"/>
        </w:tabs>
        <w:snapToGrid w:val="0"/>
        <w:jc w:val="both"/>
        <w:rPr>
          <w:rFonts w:cs="Times New Roman"/>
          <w:lang w:val="fr-FR"/>
        </w:rPr>
      </w:pPr>
    </w:p>
    <w:p w14:paraId="3C977B31" w14:textId="77777777" w:rsidR="00302E61" w:rsidRDefault="00302E61" w:rsidP="00302E61">
      <w:pPr>
        <w:tabs>
          <w:tab w:val="left" w:pos="-1440"/>
        </w:tabs>
        <w:snapToGrid w:val="0"/>
        <w:jc w:val="both"/>
        <w:rPr>
          <w:rFonts w:cs="Times New Roman"/>
          <w:lang w:val="fr-FR"/>
        </w:rPr>
      </w:pPr>
      <w:r w:rsidRPr="00476165">
        <w:rPr>
          <w:rFonts w:cs="Times New Roman"/>
          <w:lang w:val="fr-FR"/>
        </w:rPr>
        <w:t xml:space="preserve">En conséquence, il  y a lieu de désigner un expert médecin avec la </w:t>
      </w:r>
      <w:r w:rsidRPr="00476165">
        <w:rPr>
          <w:rFonts w:cs="Times New Roman"/>
          <w:b/>
          <w:bCs/>
          <w:lang w:val="fr-FR"/>
        </w:rPr>
        <w:t>mission</w:t>
      </w:r>
      <w:r w:rsidRPr="00476165">
        <w:rPr>
          <w:rFonts w:cs="Times New Roman"/>
          <w:lang w:val="fr-FR"/>
        </w:rPr>
        <w:t xml:space="preserve"> telle que précisée au dispositif du présent jugement</w:t>
      </w:r>
      <w:r>
        <w:rPr>
          <w:rFonts w:cs="Times New Roman"/>
          <w:lang w:val="fr-FR"/>
        </w:rPr>
        <w:t>.</w:t>
      </w:r>
    </w:p>
    <w:p w14:paraId="1A5DE716" w14:textId="77777777" w:rsidR="00283303" w:rsidRDefault="00283303" w:rsidP="00302E61">
      <w:pPr>
        <w:tabs>
          <w:tab w:val="left" w:pos="-1440"/>
        </w:tabs>
        <w:snapToGrid w:val="0"/>
        <w:jc w:val="both"/>
        <w:rPr>
          <w:rFonts w:cs="Times New Roman"/>
          <w:lang w:val="fr-FR"/>
        </w:rPr>
      </w:pPr>
    </w:p>
    <w:p w14:paraId="1F76FA21"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Le tribunal attire particulièrement l’attention des parties sur l’article 976 du Code judiciaire qui dispose que :</w:t>
      </w:r>
      <w:r w:rsidR="00067E83">
        <w:rPr>
          <w:rFonts w:cs="Times New Roman"/>
          <w:lang w:val="fr-FR"/>
        </w:rPr>
        <w:t xml:space="preserve"> </w:t>
      </w:r>
      <w:r w:rsidRPr="00476165">
        <w:rPr>
          <w:rFonts w:cs="Times New Roman"/>
          <w:i/>
          <w:iCs/>
          <w:lang w:val="fr-FR"/>
        </w:rPr>
        <w:t xml:space="preserve">«  A la fin de ses travaux, l'expert envoie pour lecture au juge, aux parties et à leurs conseils, ses constatations, auxquelles il joint déjà un avis provisoire, à moins qu’il n’ait été antérieurement déterminé par le juge. L’expert fixe un </w:t>
      </w:r>
      <w:r w:rsidRPr="00476165">
        <w:rPr>
          <w:rFonts w:cs="Times New Roman"/>
          <w:i/>
          <w:iCs/>
          <w:lang w:val="fr-FR"/>
        </w:rPr>
        <w:lastRenderedPageBreak/>
        <w:t>délai raisonnable, compte tenu de la nature du litige, dans lequel les parties doivent formuler leurs observations. Sauf décision contraire du juge ou circonstances particulières visées par l’expert en son avis provisoire, ce délai est d’au moins quinze  jours.</w:t>
      </w:r>
    </w:p>
    <w:p w14:paraId="3266943D" w14:textId="77777777" w:rsidR="00302E61" w:rsidRPr="00476165" w:rsidRDefault="00302E61" w:rsidP="00302E61">
      <w:pPr>
        <w:tabs>
          <w:tab w:val="left" w:pos="-1440"/>
        </w:tabs>
        <w:snapToGrid w:val="0"/>
        <w:jc w:val="both"/>
        <w:rPr>
          <w:rFonts w:cs="Times New Roman"/>
          <w:i/>
          <w:iCs/>
          <w:lang w:val="fr-FR"/>
        </w:rPr>
      </w:pPr>
      <w:r w:rsidRPr="00476165">
        <w:rPr>
          <w:rFonts w:cs="Times New Roman"/>
          <w:i/>
          <w:iCs/>
          <w:lang w:val="fr-FR"/>
        </w:rPr>
        <w:t xml:space="preserve">L'expert reçoit les observations des parties et de leurs conseillers techniques avant l'expiration de ce délai. </w:t>
      </w:r>
      <w:r w:rsidRPr="00476165">
        <w:rPr>
          <w:rFonts w:cs="Times New Roman"/>
          <w:b/>
          <w:bCs/>
          <w:i/>
          <w:iCs/>
          <w:lang w:val="fr-FR"/>
        </w:rPr>
        <w:t>L'expert ne tient aucun compte des observations qu'il reçoit tardivement. Ces observations peuvent être écartées d'office des débats par le juge</w:t>
      </w:r>
      <w:r w:rsidRPr="00476165">
        <w:rPr>
          <w:rFonts w:cs="Times New Roman"/>
          <w:i/>
          <w:iCs/>
          <w:lang w:val="fr-FR"/>
        </w:rPr>
        <w:t xml:space="preserve">. </w:t>
      </w:r>
    </w:p>
    <w:p w14:paraId="2451B03E" w14:textId="77777777" w:rsidR="00302E61" w:rsidRPr="00476165" w:rsidRDefault="00302E61" w:rsidP="00302E61">
      <w:pPr>
        <w:tabs>
          <w:tab w:val="left" w:pos="-1440"/>
        </w:tabs>
        <w:snapToGrid w:val="0"/>
        <w:jc w:val="both"/>
        <w:rPr>
          <w:rFonts w:cs="Times New Roman"/>
          <w:i/>
          <w:iCs/>
          <w:lang w:val="fr-FR"/>
        </w:rPr>
      </w:pPr>
      <w:r w:rsidRPr="00476165">
        <w:rPr>
          <w:rFonts w:cs="Times New Roman"/>
          <w:i/>
          <w:iCs/>
          <w:lang w:val="fr-FR"/>
        </w:rPr>
        <w:t>Lorsqu’après réception des observations des parties, l’expert estime que de nouveaux travaux sont</w:t>
      </w:r>
      <w:r w:rsidR="003B6AEB">
        <w:rPr>
          <w:rFonts w:cs="Times New Roman"/>
          <w:i/>
          <w:iCs/>
          <w:lang w:val="fr-FR"/>
        </w:rPr>
        <w:t xml:space="preserve"> indispensables, il en sollicite</w:t>
      </w:r>
      <w:r w:rsidRPr="00476165">
        <w:rPr>
          <w:rFonts w:cs="Times New Roman"/>
          <w:i/>
          <w:iCs/>
          <w:lang w:val="fr-FR"/>
        </w:rPr>
        <w:t xml:space="preserve"> l’autorisation auprès du juge conformément à l’article 973</w:t>
      </w:r>
      <w:r w:rsidR="00F4579A">
        <w:rPr>
          <w:rFonts w:cs="Times New Roman"/>
          <w:i/>
          <w:iCs/>
          <w:lang w:val="fr-FR"/>
        </w:rPr>
        <w:t xml:space="preserve"> </w:t>
      </w:r>
      <w:r w:rsidRPr="00476165">
        <w:rPr>
          <w:rFonts w:cs="Times New Roman"/>
          <w:i/>
          <w:iCs/>
          <w:lang w:val="fr-FR"/>
        </w:rPr>
        <w:t>§2 ».</w:t>
      </w:r>
    </w:p>
    <w:p w14:paraId="6CE30A52" w14:textId="77777777" w:rsidR="00302E61" w:rsidRPr="00476165" w:rsidRDefault="00302E61" w:rsidP="00302E61">
      <w:pPr>
        <w:tabs>
          <w:tab w:val="left" w:pos="-1440"/>
        </w:tabs>
        <w:snapToGrid w:val="0"/>
        <w:jc w:val="both"/>
        <w:rPr>
          <w:rFonts w:cs="Times New Roman"/>
          <w:i/>
          <w:iCs/>
          <w:lang w:val="fr-FR"/>
        </w:rPr>
      </w:pPr>
    </w:p>
    <w:p w14:paraId="5D0FD6C9" w14:textId="77777777" w:rsidR="00302E61" w:rsidRPr="00476165" w:rsidRDefault="00302E61" w:rsidP="00302E61">
      <w:pPr>
        <w:tabs>
          <w:tab w:val="left" w:pos="-1440"/>
        </w:tabs>
        <w:snapToGrid w:val="0"/>
        <w:jc w:val="both"/>
        <w:rPr>
          <w:rFonts w:cs="Times New Roman"/>
          <w:bCs/>
          <w:lang w:val="fr-FR"/>
        </w:rPr>
      </w:pPr>
      <w:r w:rsidRPr="00476165">
        <w:rPr>
          <w:rFonts w:cs="Times New Roman"/>
          <w:bCs/>
          <w:lang w:val="fr-FR"/>
        </w:rPr>
        <w:t>S’agissant d’une mesure d’expertise habituelle en cette matière, le tribunal estime qu’il n’y a pas lieu de prévoir une réunion d’installation de l’expert.</w:t>
      </w:r>
    </w:p>
    <w:p w14:paraId="43AFC58B" w14:textId="77777777" w:rsidR="00302E61" w:rsidRDefault="00302E61" w:rsidP="00302E61">
      <w:pPr>
        <w:tabs>
          <w:tab w:val="left" w:pos="-1440"/>
        </w:tabs>
        <w:snapToGrid w:val="0"/>
        <w:jc w:val="both"/>
        <w:rPr>
          <w:rFonts w:cs="Times New Roman"/>
          <w:b/>
          <w:bCs/>
          <w:lang w:val="fr-FR"/>
        </w:rPr>
      </w:pPr>
      <w:r w:rsidRPr="00476165">
        <w:rPr>
          <w:rFonts w:cs="Times New Roman"/>
          <w:b/>
          <w:bCs/>
          <w:lang w:val="fr-FR"/>
        </w:rPr>
        <w:t> </w:t>
      </w:r>
    </w:p>
    <w:p w14:paraId="493A4E3F" w14:textId="77777777" w:rsidR="00DD6672" w:rsidRPr="00060944" w:rsidRDefault="00DD6672" w:rsidP="00DD6672">
      <w:pPr>
        <w:tabs>
          <w:tab w:val="left" w:pos="-1440"/>
        </w:tabs>
        <w:snapToGrid w:val="0"/>
        <w:jc w:val="both"/>
        <w:rPr>
          <w:rFonts w:cs="Times New Roman"/>
          <w:b/>
          <w:bCs/>
        </w:rPr>
      </w:pPr>
      <w:r w:rsidRPr="00060944">
        <w:rPr>
          <w:rFonts w:cs="Times New Roman"/>
          <w:b/>
          <w:bCs/>
        </w:rPr>
        <w:t> </w:t>
      </w:r>
    </w:p>
    <w:p w14:paraId="5CD89E2D" w14:textId="77777777" w:rsidR="00DD6672" w:rsidRPr="008845D8" w:rsidRDefault="008845D8" w:rsidP="007E7C7C">
      <w:pPr>
        <w:pStyle w:val="Paragraphedeliste"/>
        <w:numPr>
          <w:ilvl w:val="0"/>
          <w:numId w:val="15"/>
        </w:numPr>
        <w:jc w:val="both"/>
        <w:rPr>
          <w:rFonts w:eastAsia="Times New Roman" w:cs="Times New Roman"/>
          <w:b/>
          <w:color w:val="222222"/>
          <w:u w:val="single"/>
        </w:rPr>
      </w:pPr>
      <w:r>
        <w:rPr>
          <w:rFonts w:eastAsia="Times New Roman" w:cs="Times New Roman"/>
          <w:b/>
          <w:color w:val="222222"/>
          <w:u w:val="single"/>
        </w:rPr>
        <w:t>Quant à</w:t>
      </w:r>
      <w:r w:rsidR="00DD6672" w:rsidRPr="008845D8">
        <w:rPr>
          <w:rFonts w:eastAsia="Times New Roman" w:cs="Times New Roman"/>
          <w:b/>
          <w:color w:val="222222"/>
          <w:u w:val="single"/>
        </w:rPr>
        <w:t xml:space="preserve"> l’application de l’article 1050 du Code judiciaire</w:t>
      </w:r>
      <w:r w:rsidR="00DF4C51" w:rsidRPr="008845D8">
        <w:rPr>
          <w:rFonts w:eastAsia="Times New Roman" w:cs="Times New Roman"/>
          <w:b/>
          <w:color w:val="222222"/>
          <w:u w:val="single"/>
        </w:rPr>
        <w:t>.</w:t>
      </w:r>
    </w:p>
    <w:p w14:paraId="7D3915A3" w14:textId="77777777" w:rsidR="00DD6672" w:rsidRPr="00CC50A0" w:rsidRDefault="00DD6672" w:rsidP="00DD6672">
      <w:pPr>
        <w:jc w:val="both"/>
        <w:rPr>
          <w:rFonts w:eastAsia="Times New Roman" w:cs="Times New Roman"/>
          <w:b/>
          <w:color w:val="222222"/>
          <w:sz w:val="20"/>
          <w:szCs w:val="20"/>
        </w:rPr>
      </w:pPr>
      <w:r w:rsidRPr="00CC50A0">
        <w:rPr>
          <w:rFonts w:eastAsia="Times New Roman" w:cs="Times New Roman"/>
          <w:b/>
          <w:color w:val="222222"/>
          <w:sz w:val="20"/>
          <w:szCs w:val="20"/>
        </w:rPr>
        <w:t> </w:t>
      </w:r>
    </w:p>
    <w:p w14:paraId="120000A2" w14:textId="77777777" w:rsidR="00DF4C51" w:rsidRPr="00CC50A0" w:rsidRDefault="00DF4C51" w:rsidP="00DF4C51">
      <w:pPr>
        <w:jc w:val="both"/>
        <w:rPr>
          <w:rFonts w:ascii="Arial" w:eastAsia="Times New Roman" w:hAnsi="Arial" w:cs="Arial"/>
          <w:color w:val="222222"/>
          <w:sz w:val="20"/>
          <w:szCs w:val="20"/>
        </w:rPr>
      </w:pPr>
      <w:r>
        <w:rPr>
          <w:rFonts w:eastAsia="Times New Roman" w:cs="Times New Roman"/>
          <w:color w:val="222222"/>
        </w:rPr>
        <w:t>F</w:t>
      </w:r>
      <w:r w:rsidRPr="00CC50A0">
        <w:rPr>
          <w:rFonts w:eastAsia="Times New Roman" w:cs="Times New Roman"/>
          <w:color w:val="222222"/>
        </w:rPr>
        <w:t>EDRIS sollicite l’</w:t>
      </w:r>
      <w:r>
        <w:rPr>
          <w:rFonts w:eastAsia="Times New Roman" w:cs="Times New Roman"/>
          <w:color w:val="222222"/>
        </w:rPr>
        <w:t>écartement de l’application de l’article 1050 alinéa 2 du Code judiciaire</w:t>
      </w:r>
      <w:r w:rsidRPr="00CC50A0">
        <w:rPr>
          <w:rFonts w:eastAsia="Times New Roman" w:cs="Times New Roman"/>
          <w:color w:val="222222"/>
        </w:rPr>
        <w:t>.</w:t>
      </w:r>
    </w:p>
    <w:p w14:paraId="2525086A" w14:textId="77777777" w:rsidR="00DF4C51" w:rsidRDefault="00DF4C51" w:rsidP="00DF4C51">
      <w:pPr>
        <w:jc w:val="both"/>
        <w:rPr>
          <w:rFonts w:eastAsia="Times New Roman" w:cs="Times New Roman"/>
          <w:color w:val="222222"/>
        </w:rPr>
      </w:pPr>
    </w:p>
    <w:p w14:paraId="18C0A1E0" w14:textId="77777777" w:rsidR="00DF4C51" w:rsidRPr="00FE5C46" w:rsidRDefault="00DF4C51" w:rsidP="00DF4C51">
      <w:pPr>
        <w:shd w:val="clear" w:color="auto" w:fill="FFFFFF"/>
        <w:jc w:val="both"/>
        <w:rPr>
          <w:rFonts w:eastAsia="Times New Roman" w:cs="Times New Roman"/>
          <w:color w:val="222222"/>
          <w:lang w:eastAsia="en-GB"/>
        </w:rPr>
      </w:pPr>
      <w:r w:rsidRPr="007E3593">
        <w:rPr>
          <w:rFonts w:eastAsia="Times New Roman" w:cs="Times New Roman"/>
          <w:color w:val="222222"/>
          <w:lang w:val="fr-FR" w:eastAsia="en-GB"/>
        </w:rPr>
        <w:t>Selon elle, il serait disproportionné de lui faire subir le coût d'une expertise à laquelle elle s'oppose sans possibilité d'interjeter appel.</w:t>
      </w:r>
    </w:p>
    <w:p w14:paraId="310EE046" w14:textId="77777777" w:rsidR="00DF4C51" w:rsidRDefault="00DF4C51" w:rsidP="00DF4C51">
      <w:pPr>
        <w:jc w:val="both"/>
        <w:rPr>
          <w:rFonts w:eastAsia="Times New Roman" w:cs="Times New Roman"/>
          <w:color w:val="222222"/>
        </w:rPr>
      </w:pPr>
    </w:p>
    <w:p w14:paraId="22BEA55D" w14:textId="77777777" w:rsidR="00DF4C51" w:rsidRPr="00046DCD" w:rsidRDefault="00DF4C51" w:rsidP="00DF4C51">
      <w:pPr>
        <w:jc w:val="both"/>
        <w:rPr>
          <w:rFonts w:eastAsia="Times New Roman" w:cs="Times New Roman"/>
          <w:color w:val="222222"/>
        </w:rPr>
      </w:pPr>
      <w:r w:rsidRPr="00046DCD">
        <w:rPr>
          <w:rFonts w:eastAsia="Times New Roman" w:cs="Times New Roman"/>
          <w:color w:val="222222"/>
        </w:rPr>
        <w:t> </w:t>
      </w:r>
    </w:p>
    <w:p w14:paraId="06DAA2A7" w14:textId="77777777" w:rsidR="00DF4C51" w:rsidRPr="00046DCD" w:rsidRDefault="00DF4C51" w:rsidP="00DF4C51">
      <w:pPr>
        <w:jc w:val="both"/>
        <w:rPr>
          <w:rFonts w:eastAsia="Times New Roman" w:cs="Times New Roman"/>
          <w:color w:val="222222"/>
        </w:rPr>
      </w:pPr>
      <w:r w:rsidRPr="00046DCD">
        <w:rPr>
          <w:rFonts w:eastAsia="Arial" w:cs="Times New Roman"/>
          <w:color w:val="000000"/>
          <w:lang w:val="fr-FR"/>
        </w:rPr>
        <w:t>Aux termes</w:t>
      </w:r>
      <w:r w:rsidRPr="00FE5C46">
        <w:rPr>
          <w:rFonts w:eastAsia="Arial" w:cs="Times New Roman"/>
          <w:color w:val="000000"/>
        </w:rPr>
        <w:t xml:space="preserve"> de</w:t>
      </w:r>
      <w:r w:rsidRPr="00046DCD">
        <w:rPr>
          <w:rFonts w:eastAsia="Arial" w:cs="Times New Roman"/>
          <w:color w:val="000000"/>
          <w:lang w:val="fr-FR"/>
        </w:rPr>
        <w:t xml:space="preserve"> l'article</w:t>
      </w:r>
      <w:r w:rsidRPr="00FE5C46">
        <w:rPr>
          <w:rFonts w:eastAsia="Arial" w:cs="Times New Roman"/>
          <w:color w:val="000000"/>
        </w:rPr>
        <w:t xml:space="preserve"> 616 du Code</w:t>
      </w:r>
      <w:r w:rsidRPr="00046DCD">
        <w:rPr>
          <w:rFonts w:eastAsia="Arial" w:cs="Times New Roman"/>
          <w:color w:val="000000"/>
          <w:lang w:val="fr-FR"/>
        </w:rPr>
        <w:t xml:space="preserve"> judiciaire, tout jugement peut être frappé d'appel, sauf si</w:t>
      </w:r>
      <w:r w:rsidRPr="00FE5C46">
        <w:rPr>
          <w:rFonts w:eastAsia="Arial" w:cs="Times New Roman"/>
          <w:color w:val="000000"/>
        </w:rPr>
        <w:t xml:space="preserve"> la</w:t>
      </w:r>
      <w:r w:rsidRPr="00046DCD">
        <w:rPr>
          <w:rFonts w:eastAsia="Arial" w:cs="Times New Roman"/>
          <w:color w:val="000000"/>
          <w:lang w:val="fr-FR"/>
        </w:rPr>
        <w:t xml:space="preserve"> loi</w:t>
      </w:r>
      <w:r w:rsidRPr="00FE5C46">
        <w:rPr>
          <w:rFonts w:eastAsia="Arial" w:cs="Times New Roman"/>
          <w:color w:val="000000"/>
        </w:rPr>
        <w:t xml:space="preserve"> en</w:t>
      </w:r>
      <w:r w:rsidRPr="00046DCD">
        <w:rPr>
          <w:rFonts w:eastAsia="Arial" w:cs="Times New Roman"/>
          <w:color w:val="000000"/>
          <w:lang w:val="fr-FR"/>
        </w:rPr>
        <w:t xml:space="preserve"> dispose autrement.</w:t>
      </w:r>
    </w:p>
    <w:p w14:paraId="0C9E872F" w14:textId="77777777" w:rsidR="00DF4C51" w:rsidRDefault="00DF4C51" w:rsidP="00DF4C51">
      <w:pPr>
        <w:jc w:val="both"/>
        <w:rPr>
          <w:rFonts w:eastAsia="Times New Roman" w:cs="Times New Roman"/>
          <w:color w:val="222222"/>
        </w:rPr>
      </w:pPr>
    </w:p>
    <w:p w14:paraId="38B4D77D" w14:textId="77777777" w:rsidR="00DF4C51" w:rsidRDefault="00DF4C51" w:rsidP="00DF4C51">
      <w:pPr>
        <w:jc w:val="both"/>
        <w:rPr>
          <w:rFonts w:eastAsia="Times New Roman" w:cs="Times New Roman"/>
          <w:color w:val="222222"/>
        </w:rPr>
      </w:pPr>
      <w:r>
        <w:rPr>
          <w:rFonts w:eastAsia="Times New Roman" w:cs="Times New Roman"/>
          <w:color w:val="222222"/>
        </w:rPr>
        <w:t>Aussi, l</w:t>
      </w:r>
      <w:r w:rsidRPr="00CC50A0">
        <w:rPr>
          <w:rFonts w:eastAsia="Times New Roman" w:cs="Times New Roman"/>
          <w:color w:val="222222"/>
        </w:rPr>
        <w:t>’article 1050, alinéa 2 du Code judiciaire, tel que modifié par la loi du 19 octobre 2015 modifiant le droit de la procédure civile et portant des dispositions dive</w:t>
      </w:r>
      <w:r>
        <w:rPr>
          <w:rFonts w:eastAsia="Times New Roman" w:cs="Times New Roman"/>
          <w:color w:val="222222"/>
        </w:rPr>
        <w:t>rses en matière de justice</w:t>
      </w:r>
      <w:r w:rsidRPr="00CC50A0">
        <w:rPr>
          <w:rFonts w:eastAsia="Times New Roman" w:cs="Times New Roman"/>
          <w:color w:val="222222"/>
        </w:rPr>
        <w:t xml:space="preserve"> ne permet plus l’appel d’une décision avant dire droit</w:t>
      </w:r>
      <w:r>
        <w:rPr>
          <w:rFonts w:eastAsia="Times New Roman" w:cs="Times New Roman"/>
          <w:color w:val="222222"/>
        </w:rPr>
        <w:t>,</w:t>
      </w:r>
      <w:r w:rsidRPr="00CC50A0">
        <w:rPr>
          <w:rFonts w:eastAsia="Times New Roman" w:cs="Times New Roman"/>
          <w:color w:val="222222"/>
        </w:rPr>
        <w:t xml:space="preserve"> sauf si le juge en décide autrement.</w:t>
      </w:r>
    </w:p>
    <w:p w14:paraId="0CBB9FD8" w14:textId="77777777" w:rsidR="00DF4C51" w:rsidRDefault="00DF4C51" w:rsidP="00DF4C51">
      <w:pPr>
        <w:jc w:val="both"/>
        <w:rPr>
          <w:rFonts w:eastAsia="Times New Roman" w:cs="Times New Roman"/>
          <w:color w:val="222222"/>
        </w:rPr>
      </w:pPr>
    </w:p>
    <w:p w14:paraId="14EFD53F" w14:textId="77777777" w:rsidR="00DF4C51" w:rsidRPr="00FE5C46" w:rsidRDefault="00DF4C51" w:rsidP="00DF4C51">
      <w:pPr>
        <w:shd w:val="clear" w:color="auto" w:fill="FFFFFF"/>
        <w:jc w:val="both"/>
        <w:rPr>
          <w:rFonts w:eastAsia="Times New Roman" w:cs="Times New Roman"/>
          <w:color w:val="222222"/>
          <w:lang w:eastAsia="en-GB"/>
        </w:rPr>
      </w:pPr>
      <w:r>
        <w:rPr>
          <w:rFonts w:eastAsia="Times New Roman" w:cs="Times New Roman"/>
          <w:color w:val="222222"/>
        </w:rPr>
        <w:t xml:space="preserve">En effet, cet article précise : </w:t>
      </w:r>
      <w:r w:rsidRPr="007E3593">
        <w:rPr>
          <w:rFonts w:eastAsia="Times New Roman" w:cs="Times New Roman"/>
          <w:color w:val="222222"/>
          <w:lang w:val="fr-FR" w:eastAsia="en-GB"/>
        </w:rPr>
        <w:t>« </w:t>
      </w:r>
      <w:r w:rsidRPr="007E3593">
        <w:rPr>
          <w:rFonts w:eastAsia="Times New Roman" w:cs="Times New Roman"/>
          <w:i/>
          <w:iCs/>
          <w:color w:val="222222"/>
          <w:lang w:val="fr-FR" w:eastAsia="en-GB"/>
        </w:rPr>
        <w:t>En toutes matières, l'appel peut être formé dès la prononciation du jugement, même si celui-ci a été rendu par défaut.</w:t>
      </w:r>
    </w:p>
    <w:p w14:paraId="4FD49911" w14:textId="77777777" w:rsidR="00DF4C51" w:rsidRPr="00FE5C46" w:rsidRDefault="00DF4C51" w:rsidP="00DF4C51">
      <w:pPr>
        <w:shd w:val="clear" w:color="auto" w:fill="FFFFFF"/>
        <w:jc w:val="both"/>
        <w:rPr>
          <w:rFonts w:eastAsia="Times New Roman" w:cs="Times New Roman"/>
          <w:color w:val="222222"/>
          <w:lang w:eastAsia="en-GB"/>
        </w:rPr>
      </w:pPr>
      <w:r w:rsidRPr="007E3593">
        <w:rPr>
          <w:rFonts w:eastAsia="Times New Roman" w:cs="Times New Roman"/>
          <w:i/>
          <w:iCs/>
          <w:color w:val="222222"/>
          <w:lang w:val="fr-FR" w:eastAsia="en-GB"/>
        </w:rPr>
        <w:t>Contre une décision rendue sur la compétence ou, sauf si le juge, d'office ou à la demande d'une des parties, en décide autrement, une décision avant dire droit, un appel ne peut être formé qu'avec l'appel contre le jugement définitif.</w:t>
      </w:r>
      <w:r w:rsidRPr="007E3593">
        <w:rPr>
          <w:rFonts w:eastAsia="Times New Roman" w:cs="Times New Roman"/>
          <w:color w:val="222222"/>
          <w:lang w:val="fr-FR" w:eastAsia="en-GB"/>
        </w:rPr>
        <w:t> »</w:t>
      </w:r>
    </w:p>
    <w:p w14:paraId="2A011072" w14:textId="77777777" w:rsidR="00DF4C51" w:rsidRPr="00FE5C46" w:rsidRDefault="00DF4C51" w:rsidP="00DF4C51">
      <w:pPr>
        <w:shd w:val="clear" w:color="auto" w:fill="FFFFFF"/>
        <w:jc w:val="both"/>
        <w:rPr>
          <w:rFonts w:eastAsia="Times New Roman" w:cs="Times New Roman"/>
          <w:color w:val="222222"/>
          <w:lang w:eastAsia="en-GB"/>
        </w:rPr>
      </w:pPr>
    </w:p>
    <w:p w14:paraId="05E0B524" w14:textId="77777777" w:rsidR="00DF4C51" w:rsidRPr="00E74DAD" w:rsidRDefault="00DF4C51" w:rsidP="00DF4C51">
      <w:pPr>
        <w:shd w:val="clear" w:color="auto" w:fill="FFFFFF"/>
        <w:jc w:val="both"/>
        <w:rPr>
          <w:rFonts w:eastAsia="Times New Roman" w:cs="Times New Roman"/>
          <w:i/>
          <w:color w:val="222222"/>
          <w:lang w:eastAsia="en-GB"/>
        </w:rPr>
      </w:pPr>
      <w:r w:rsidRPr="00E74DAD">
        <w:rPr>
          <w:rFonts w:eastAsia="Arial" w:cs="Times New Roman"/>
          <w:i/>
          <w:color w:val="000000"/>
          <w:spacing w:val="-4"/>
        </w:rPr>
        <w:t xml:space="preserve">“La ratio </w:t>
      </w:r>
      <w:proofErr w:type="spellStart"/>
      <w:r w:rsidRPr="00E74DAD">
        <w:rPr>
          <w:rFonts w:eastAsia="Arial" w:cs="Times New Roman"/>
          <w:i/>
          <w:color w:val="000000"/>
          <w:spacing w:val="-4"/>
        </w:rPr>
        <w:t>legis</w:t>
      </w:r>
      <w:proofErr w:type="spellEnd"/>
      <w:r w:rsidRPr="00E74DAD">
        <w:rPr>
          <w:rFonts w:eastAsia="Arial" w:cs="Times New Roman"/>
          <w:i/>
          <w:color w:val="000000"/>
          <w:spacing w:val="-4"/>
        </w:rPr>
        <w:t xml:space="preserve"> de cette modification légale apportée par la loi du 19 octobre 2015 est la volonté de lutter contre les appels abusifs dirigés à l'encontre des jugements interlocutoires destinés à renvoyer l'affaire aux calendes grecques devant le juge d'appel (Projet de loi modifiant le droit de la procédure civile (...),Chambre des représentants, 2014-2015, Doc 54.1219/01, p. 23).</w:t>
      </w:r>
    </w:p>
    <w:p w14:paraId="1891E3BF" w14:textId="77777777" w:rsidR="00DF4C51" w:rsidRPr="005C6267" w:rsidRDefault="00DF4C51" w:rsidP="00DF4C51">
      <w:pPr>
        <w:shd w:val="clear" w:color="auto" w:fill="FFFFFF"/>
        <w:jc w:val="both"/>
        <w:rPr>
          <w:rFonts w:eastAsia="Times New Roman" w:cs="Times New Roman"/>
          <w:color w:val="222222"/>
          <w:vertAlign w:val="superscript"/>
          <w:lang w:eastAsia="en-GB"/>
        </w:rPr>
      </w:pPr>
      <w:r w:rsidRPr="00E74DAD">
        <w:rPr>
          <w:rFonts w:eastAsia="Arial" w:cs="Times New Roman"/>
          <w:i/>
          <w:color w:val="000000"/>
        </w:rPr>
        <w:t>Le législateur a toutefois donné le pouvoir au premier juge de décider qu'un appel immédiat demeure possible contre son jugement avant dire droit. »</w:t>
      </w:r>
      <w:r w:rsidRPr="005C6267">
        <w:rPr>
          <w:rStyle w:val="Appelnotedebasdep"/>
          <w:rFonts w:eastAsia="Arial" w:cs="Times New Roman"/>
          <w:color w:val="000000"/>
          <w:vertAlign w:val="superscript"/>
        </w:rPr>
        <w:footnoteReference w:id="25"/>
      </w:r>
    </w:p>
    <w:p w14:paraId="2FDADCAC" w14:textId="77777777" w:rsidR="00DF4C51" w:rsidRPr="00FE5C46" w:rsidRDefault="00DF4C51" w:rsidP="00DF4C51">
      <w:pPr>
        <w:shd w:val="clear" w:color="auto" w:fill="FFFFFF"/>
        <w:jc w:val="both"/>
        <w:rPr>
          <w:rFonts w:eastAsia="Times New Roman" w:cs="Times New Roman"/>
          <w:color w:val="222222"/>
          <w:lang w:eastAsia="en-GB"/>
        </w:rPr>
      </w:pPr>
    </w:p>
    <w:p w14:paraId="7A50747E" w14:textId="77777777" w:rsidR="00DF4C51" w:rsidRPr="00FE5C46" w:rsidRDefault="00DF4C51" w:rsidP="00DF4C51">
      <w:pPr>
        <w:shd w:val="clear" w:color="auto" w:fill="FFFFFF"/>
        <w:jc w:val="both"/>
        <w:rPr>
          <w:rFonts w:eastAsia="Times New Roman" w:cs="Times New Roman"/>
          <w:color w:val="222222"/>
          <w:lang w:eastAsia="en-GB"/>
        </w:rPr>
      </w:pPr>
      <w:r>
        <w:rPr>
          <w:rFonts w:eastAsia="Times New Roman" w:cs="Times New Roman"/>
          <w:color w:val="222222"/>
          <w:lang w:val="fr-FR" w:eastAsia="en-GB"/>
        </w:rPr>
        <w:t>Ainsi, l</w:t>
      </w:r>
      <w:r w:rsidRPr="007E3593">
        <w:rPr>
          <w:rFonts w:eastAsia="Times New Roman" w:cs="Times New Roman"/>
          <w:color w:val="222222"/>
          <w:lang w:val="fr-FR" w:eastAsia="en-GB"/>
        </w:rPr>
        <w:t>e législateur a volontairement défini la règle : l’appel d’un jugement avant dire droit ne peut être formé qu’avec le jugement définitif. Cette règle vise à accélérer la procédure. L’exception à cette règle peut toutefois être décidée par le juge.</w:t>
      </w:r>
    </w:p>
    <w:p w14:paraId="7B9206F2" w14:textId="77777777" w:rsidR="00DF4C51" w:rsidRPr="00FE5C46" w:rsidRDefault="00DF4C51" w:rsidP="00DF4C51">
      <w:pPr>
        <w:shd w:val="clear" w:color="auto" w:fill="FFFFFF"/>
        <w:jc w:val="both"/>
        <w:rPr>
          <w:rFonts w:eastAsia="Times New Roman" w:cs="Times New Roman"/>
          <w:color w:val="222222"/>
          <w:lang w:eastAsia="en-GB"/>
        </w:rPr>
      </w:pPr>
      <w:r w:rsidRPr="007E3593">
        <w:rPr>
          <w:rFonts w:eastAsia="Times New Roman" w:cs="Times New Roman"/>
          <w:color w:val="222222"/>
          <w:lang w:val="fr-FR" w:eastAsia="en-GB"/>
        </w:rPr>
        <w:t> </w:t>
      </w:r>
    </w:p>
    <w:p w14:paraId="2C2177D0" w14:textId="77777777" w:rsidR="00DF4C51" w:rsidRPr="00FE5C46" w:rsidRDefault="00DF4C51" w:rsidP="00DF4C51">
      <w:pPr>
        <w:shd w:val="clear" w:color="auto" w:fill="FFFFFF"/>
        <w:jc w:val="both"/>
        <w:rPr>
          <w:rFonts w:eastAsia="Times New Roman" w:cs="Times New Roman"/>
          <w:color w:val="222222"/>
          <w:lang w:eastAsia="en-GB"/>
        </w:rPr>
      </w:pPr>
      <w:r>
        <w:rPr>
          <w:rFonts w:eastAsia="Times New Roman" w:cs="Times New Roman"/>
          <w:color w:val="222222"/>
          <w:lang w:val="fr-FR" w:eastAsia="en-GB"/>
        </w:rPr>
        <w:lastRenderedPageBreak/>
        <w:t>Si le t</w:t>
      </w:r>
      <w:r w:rsidRPr="007E3593">
        <w:rPr>
          <w:rFonts w:eastAsia="Times New Roman" w:cs="Times New Roman"/>
          <w:color w:val="222222"/>
          <w:lang w:val="fr-FR" w:eastAsia="en-GB"/>
        </w:rPr>
        <w:t>ribunal accept</w:t>
      </w:r>
      <w:r>
        <w:rPr>
          <w:rFonts w:eastAsia="Times New Roman" w:cs="Times New Roman"/>
          <w:color w:val="222222"/>
          <w:lang w:val="fr-FR" w:eastAsia="en-GB"/>
        </w:rPr>
        <w:t>e</w:t>
      </w:r>
      <w:r w:rsidRPr="007E3593">
        <w:rPr>
          <w:rFonts w:eastAsia="Times New Roman" w:cs="Times New Roman"/>
          <w:color w:val="222222"/>
          <w:lang w:val="fr-FR" w:eastAsia="en-GB"/>
        </w:rPr>
        <w:t xml:space="preserve"> de </w:t>
      </w:r>
      <w:r>
        <w:rPr>
          <w:rFonts w:eastAsia="Times New Roman" w:cs="Times New Roman"/>
          <w:color w:val="222222"/>
          <w:lang w:val="fr-FR" w:eastAsia="en-GB"/>
        </w:rPr>
        <w:t>ne pas appliquer</w:t>
      </w:r>
      <w:r w:rsidRPr="007E3593">
        <w:rPr>
          <w:rFonts w:eastAsia="Times New Roman" w:cs="Times New Roman"/>
          <w:color w:val="222222"/>
          <w:lang w:val="fr-FR" w:eastAsia="en-GB"/>
        </w:rPr>
        <w:t xml:space="preserve"> à la règle, sans aucun autre motif particulier</w:t>
      </w:r>
      <w:r>
        <w:rPr>
          <w:rFonts w:eastAsia="Times New Roman" w:cs="Times New Roman"/>
          <w:color w:val="222222"/>
          <w:lang w:val="fr-FR" w:eastAsia="en-GB"/>
        </w:rPr>
        <w:t xml:space="preserve"> que la réalisation d’économie budgétaire</w:t>
      </w:r>
      <w:r w:rsidRPr="007E3593">
        <w:rPr>
          <w:rFonts w:eastAsia="Times New Roman" w:cs="Times New Roman"/>
          <w:color w:val="222222"/>
          <w:lang w:val="fr-FR" w:eastAsia="en-GB"/>
        </w:rPr>
        <w:t>, il devrait</w:t>
      </w:r>
      <w:r>
        <w:rPr>
          <w:rFonts w:eastAsia="Times New Roman" w:cs="Times New Roman"/>
          <w:color w:val="222222"/>
          <w:lang w:val="fr-FR" w:eastAsia="en-GB"/>
        </w:rPr>
        <w:t>, alors,</w:t>
      </w:r>
      <w:r w:rsidRPr="007E3593">
        <w:rPr>
          <w:rFonts w:eastAsia="Times New Roman" w:cs="Times New Roman"/>
          <w:color w:val="222222"/>
          <w:lang w:val="fr-FR" w:eastAsia="en-GB"/>
        </w:rPr>
        <w:t xml:space="preserve"> accepter d’y déroger dans tous les jugements avant dire droit </w:t>
      </w:r>
      <w:r>
        <w:rPr>
          <w:rFonts w:eastAsia="Times New Roman" w:cs="Times New Roman"/>
          <w:color w:val="222222"/>
          <w:lang w:val="fr-FR" w:eastAsia="en-GB"/>
        </w:rPr>
        <w:t>prévoyant la</w:t>
      </w:r>
      <w:r w:rsidRPr="007E3593">
        <w:rPr>
          <w:rFonts w:eastAsia="Times New Roman" w:cs="Times New Roman"/>
          <w:color w:val="222222"/>
          <w:lang w:val="fr-FR" w:eastAsia="en-GB"/>
        </w:rPr>
        <w:t xml:space="preserve"> désignation d’</w:t>
      </w:r>
      <w:r>
        <w:rPr>
          <w:rFonts w:eastAsia="Times New Roman" w:cs="Times New Roman"/>
          <w:color w:val="222222"/>
          <w:lang w:val="fr-FR" w:eastAsia="en-GB"/>
        </w:rPr>
        <w:t xml:space="preserve">un </w:t>
      </w:r>
      <w:r w:rsidRPr="007E3593">
        <w:rPr>
          <w:rFonts w:eastAsia="Times New Roman" w:cs="Times New Roman"/>
          <w:color w:val="222222"/>
          <w:lang w:val="fr-FR" w:eastAsia="en-GB"/>
        </w:rPr>
        <w:t>expert dès que FEDRIS est défendeur. Cela viendrait à vider la disposition de sa substance et irait à l’encontre de la volonté du législateur.</w:t>
      </w:r>
    </w:p>
    <w:p w14:paraId="1AFE30D2" w14:textId="77777777" w:rsidR="00DF4C51" w:rsidRPr="00CC50A0" w:rsidRDefault="00DF4C51" w:rsidP="00DF4C51">
      <w:pPr>
        <w:jc w:val="both"/>
        <w:rPr>
          <w:rFonts w:eastAsia="Times New Roman" w:cs="Times New Roman"/>
          <w:color w:val="222222"/>
        </w:rPr>
      </w:pPr>
    </w:p>
    <w:p w14:paraId="24A39BFE" w14:textId="77777777" w:rsidR="00DF4C51" w:rsidRPr="00CC50A0" w:rsidRDefault="00DF4C51" w:rsidP="00DF4C51">
      <w:pPr>
        <w:jc w:val="both"/>
        <w:rPr>
          <w:rFonts w:eastAsia="Times New Roman" w:cs="Times New Roman"/>
          <w:color w:val="222222"/>
        </w:rPr>
      </w:pPr>
      <w:r w:rsidRPr="00CC50A0">
        <w:rPr>
          <w:rFonts w:eastAsia="Times New Roman" w:cs="Times New Roman"/>
          <w:color w:val="222222"/>
        </w:rPr>
        <w:t> </w:t>
      </w:r>
    </w:p>
    <w:p w14:paraId="33A41F7D" w14:textId="77777777" w:rsidR="00DF4C51" w:rsidRDefault="00DF4C51" w:rsidP="00DF4C51">
      <w:pPr>
        <w:jc w:val="both"/>
        <w:rPr>
          <w:rFonts w:eastAsia="Times New Roman" w:cs="Times New Roman"/>
          <w:color w:val="222222"/>
        </w:rPr>
      </w:pPr>
      <w:r>
        <w:rPr>
          <w:rFonts w:eastAsia="Times New Roman" w:cs="Times New Roman"/>
          <w:color w:val="222222"/>
        </w:rPr>
        <w:t xml:space="preserve">Par ailleurs, </w:t>
      </w:r>
      <w:r w:rsidRPr="00CC50A0">
        <w:rPr>
          <w:rFonts w:eastAsia="Times New Roman" w:cs="Times New Roman"/>
          <w:color w:val="222222"/>
        </w:rPr>
        <w:t>une expertise judiciaire peut constituer un moyen de preuve</w:t>
      </w:r>
      <w:r>
        <w:rPr>
          <w:rFonts w:eastAsia="Times New Roman" w:cs="Times New Roman"/>
          <w:color w:val="222222"/>
        </w:rPr>
        <w:t>.</w:t>
      </w:r>
    </w:p>
    <w:p w14:paraId="3A58CB70" w14:textId="77777777" w:rsidR="00DF4C51" w:rsidRDefault="00DF4C51" w:rsidP="00DF4C51">
      <w:pPr>
        <w:jc w:val="both"/>
        <w:rPr>
          <w:rFonts w:eastAsia="Times New Roman" w:cs="Times New Roman"/>
          <w:color w:val="222222"/>
        </w:rPr>
      </w:pPr>
      <w:r>
        <w:rPr>
          <w:rFonts w:eastAsia="Times New Roman" w:cs="Times New Roman"/>
          <w:color w:val="222222"/>
        </w:rPr>
        <w:t xml:space="preserve">De plus, </w:t>
      </w:r>
      <w:r w:rsidRPr="00CC50A0">
        <w:rPr>
          <w:rFonts w:eastAsia="Times New Roman" w:cs="Times New Roman"/>
          <w:color w:val="222222"/>
        </w:rPr>
        <w:t>le juge doit pouvoir s’entourer de l’avis technique d’un expert afin de statuer</w:t>
      </w:r>
      <w:r>
        <w:rPr>
          <w:rFonts w:eastAsia="Times New Roman" w:cs="Times New Roman"/>
          <w:color w:val="222222"/>
        </w:rPr>
        <w:t>.</w:t>
      </w:r>
    </w:p>
    <w:p w14:paraId="7B815709" w14:textId="77777777" w:rsidR="00DF4C51" w:rsidRDefault="00DF4C51" w:rsidP="00DF4C51">
      <w:pPr>
        <w:jc w:val="both"/>
        <w:rPr>
          <w:rFonts w:eastAsia="Times New Roman" w:cs="Times New Roman"/>
          <w:color w:val="222222"/>
        </w:rPr>
      </w:pPr>
      <w:r>
        <w:rPr>
          <w:rFonts w:eastAsia="Times New Roman" w:cs="Times New Roman"/>
          <w:color w:val="222222"/>
        </w:rPr>
        <w:t xml:space="preserve">Aussi, il ne peut être soutenu que </w:t>
      </w:r>
      <w:r w:rsidRPr="00CC50A0">
        <w:rPr>
          <w:rFonts w:eastAsia="Times New Roman" w:cs="Times New Roman"/>
          <w:color w:val="222222"/>
        </w:rPr>
        <w:t>la demande d</w:t>
      </w:r>
      <w:r>
        <w:rPr>
          <w:rFonts w:eastAsia="Times New Roman" w:cs="Times New Roman"/>
          <w:color w:val="222222"/>
        </w:rPr>
        <w:t xml:space="preserve">e </w:t>
      </w:r>
      <w:r w:rsidRPr="00CC50A0">
        <w:rPr>
          <w:rFonts w:eastAsia="Times New Roman" w:cs="Times New Roman"/>
          <w:color w:val="222222"/>
        </w:rPr>
        <w:t>recourir</w:t>
      </w:r>
      <w:r>
        <w:rPr>
          <w:rFonts w:eastAsia="Times New Roman" w:cs="Times New Roman"/>
          <w:color w:val="222222"/>
        </w:rPr>
        <w:t xml:space="preserve"> à la mesure avant dire droit sollicitée </w:t>
      </w:r>
      <w:r w:rsidRPr="00CC50A0">
        <w:rPr>
          <w:rFonts w:eastAsia="Times New Roman" w:cs="Times New Roman"/>
          <w:color w:val="222222"/>
        </w:rPr>
        <w:t xml:space="preserve">fut téméraire ou vexatoire. </w:t>
      </w:r>
    </w:p>
    <w:p w14:paraId="2BF4DBD2" w14:textId="77777777" w:rsidR="00DF4C51" w:rsidRDefault="00DF4C51" w:rsidP="00DF4C51">
      <w:pPr>
        <w:jc w:val="both"/>
        <w:rPr>
          <w:rFonts w:eastAsia="Times New Roman" w:cs="Times New Roman"/>
          <w:color w:val="222222"/>
        </w:rPr>
      </w:pPr>
    </w:p>
    <w:p w14:paraId="6BA1E253" w14:textId="77777777" w:rsidR="00DF4C51" w:rsidRDefault="00DF4C51" w:rsidP="00730873">
      <w:pPr>
        <w:ind w:right="216"/>
        <w:jc w:val="both"/>
        <w:rPr>
          <w:rFonts w:eastAsia="Times New Roman" w:cs="Times New Roman"/>
          <w:color w:val="222222"/>
        </w:rPr>
      </w:pPr>
      <w:r w:rsidRPr="00CC50A0">
        <w:rPr>
          <w:rFonts w:eastAsia="Times New Roman" w:cs="Times New Roman"/>
          <w:color w:val="222222"/>
        </w:rPr>
        <w:t>En conclusion, au regard des moyens avancés, le tribunal s’en tient à la volonté exprimée par le législateur et n’autorise pas l’appel immédiat du présent jugement</w:t>
      </w:r>
      <w:r>
        <w:rPr>
          <w:rFonts w:eastAsia="Times New Roman" w:cs="Times New Roman"/>
          <w:color w:val="222222"/>
        </w:rPr>
        <w:t>.</w:t>
      </w:r>
    </w:p>
    <w:p w14:paraId="3C747E97" w14:textId="77777777" w:rsidR="00730873" w:rsidRDefault="00730873" w:rsidP="00730873">
      <w:pPr>
        <w:ind w:right="216"/>
        <w:jc w:val="both"/>
        <w:rPr>
          <w:rFonts w:eastAsia="Times New Roman" w:cs="Times New Roman"/>
          <w:color w:val="222222"/>
        </w:rPr>
      </w:pPr>
    </w:p>
    <w:p w14:paraId="5C294B2F" w14:textId="77777777" w:rsidR="00730873" w:rsidRPr="00ED4388" w:rsidRDefault="00730873" w:rsidP="00730873">
      <w:pPr>
        <w:ind w:right="216"/>
        <w:jc w:val="both"/>
        <w:rPr>
          <w:rFonts w:eastAsia="Arial" w:cs="Times New Roman"/>
          <w:i/>
          <w:color w:val="000000"/>
          <w:spacing w:val="-5"/>
          <w:lang w:val="fr-FR"/>
        </w:rPr>
      </w:pPr>
    </w:p>
    <w:p w14:paraId="37362C3B" w14:textId="77777777" w:rsidR="00DF4C51" w:rsidRPr="008845D8" w:rsidRDefault="00523396" w:rsidP="007E7C7C">
      <w:pPr>
        <w:pStyle w:val="Paragraphedeliste"/>
        <w:numPr>
          <w:ilvl w:val="0"/>
          <w:numId w:val="15"/>
        </w:numPr>
        <w:jc w:val="both"/>
        <w:rPr>
          <w:rFonts w:cs="Times New Roman"/>
          <w:b/>
          <w:bCs/>
          <w:u w:val="single"/>
        </w:rPr>
      </w:pPr>
      <w:r w:rsidRPr="008845D8">
        <w:rPr>
          <w:rFonts w:cs="Times New Roman"/>
          <w:b/>
          <w:bCs/>
          <w:u w:val="single"/>
        </w:rPr>
        <w:t>L’a</w:t>
      </w:r>
      <w:r w:rsidR="00DF4C51" w:rsidRPr="008845D8">
        <w:rPr>
          <w:rFonts w:cs="Times New Roman"/>
          <w:b/>
          <w:bCs/>
          <w:u w:val="single"/>
        </w:rPr>
        <w:t>rticle 1397 du Code judiciaire.</w:t>
      </w:r>
    </w:p>
    <w:p w14:paraId="344BAB53" w14:textId="77777777" w:rsidR="00DF4C51" w:rsidRDefault="00DF4C51" w:rsidP="00DF4C51">
      <w:pPr>
        <w:jc w:val="both"/>
        <w:rPr>
          <w:rFonts w:cs="Times New Roman"/>
          <w:b/>
          <w:bCs/>
        </w:rPr>
      </w:pPr>
    </w:p>
    <w:p w14:paraId="55F86B77" w14:textId="77777777" w:rsidR="00DF4C51" w:rsidRPr="00FE5C46" w:rsidRDefault="00DF4C51" w:rsidP="00DF4C51">
      <w:pPr>
        <w:shd w:val="clear" w:color="auto" w:fill="FFFFFF"/>
        <w:jc w:val="both"/>
        <w:rPr>
          <w:rFonts w:eastAsia="Times New Roman" w:cs="Times New Roman"/>
          <w:color w:val="222222"/>
          <w:lang w:eastAsia="en-GB"/>
        </w:rPr>
      </w:pPr>
      <w:r w:rsidRPr="007E3593">
        <w:rPr>
          <w:rFonts w:eastAsia="Times New Roman" w:cs="Times New Roman"/>
          <w:color w:val="222222"/>
          <w:lang w:val="fr-FR" w:eastAsia="en-GB"/>
        </w:rPr>
        <w:t>F</w:t>
      </w:r>
      <w:r>
        <w:rPr>
          <w:rFonts w:eastAsia="Times New Roman" w:cs="Times New Roman"/>
          <w:color w:val="222222"/>
          <w:lang w:val="fr-FR" w:eastAsia="en-GB"/>
        </w:rPr>
        <w:t>EDRIS demande également que le t</w:t>
      </w:r>
      <w:r w:rsidRPr="007E3593">
        <w:rPr>
          <w:rFonts w:eastAsia="Times New Roman" w:cs="Times New Roman"/>
          <w:color w:val="222222"/>
          <w:lang w:val="fr-FR" w:eastAsia="en-GB"/>
        </w:rPr>
        <w:t>ribunal déroge au caractère exécutoire par provision du jugement s’il devait désigner un médecin expert.</w:t>
      </w:r>
    </w:p>
    <w:p w14:paraId="363F85AE" w14:textId="77777777" w:rsidR="00DF4C51" w:rsidRDefault="00DF4C51" w:rsidP="00DF4C51">
      <w:pPr>
        <w:tabs>
          <w:tab w:val="left" w:pos="-1440"/>
        </w:tabs>
        <w:snapToGrid w:val="0"/>
        <w:rPr>
          <w:rFonts w:cs="Times New Roman"/>
        </w:rPr>
      </w:pPr>
    </w:p>
    <w:p w14:paraId="3DF828B2" w14:textId="77777777" w:rsidR="00DF4C51" w:rsidRPr="00565AEE" w:rsidRDefault="00DF4C51" w:rsidP="00DF4C51">
      <w:pPr>
        <w:tabs>
          <w:tab w:val="left" w:pos="-1440"/>
        </w:tabs>
        <w:snapToGrid w:val="0"/>
        <w:rPr>
          <w:rFonts w:cs="Times New Roman"/>
        </w:rPr>
      </w:pPr>
      <w:r>
        <w:rPr>
          <w:rFonts w:cs="Times New Roman"/>
        </w:rPr>
        <w:t xml:space="preserve">L’article 1397 du Code judiciaire prévoit que « (…) </w:t>
      </w:r>
      <w:r w:rsidRPr="00565AEE">
        <w:rPr>
          <w:bCs/>
          <w:i/>
          <w:color w:val="000000"/>
          <w:shd w:val="clear" w:color="auto" w:fill="FFFFFF"/>
        </w:rPr>
        <w:t>L'exécution par provision est de droit pour les jugements avant dire droit, ce qui englobe tous les types de mesures provisoires.</w:t>
      </w:r>
      <w:r>
        <w:rPr>
          <w:bCs/>
          <w:color w:val="000000"/>
          <w:shd w:val="clear" w:color="auto" w:fill="FFFFFF"/>
        </w:rPr>
        <w:t> »</w:t>
      </w:r>
    </w:p>
    <w:p w14:paraId="743E0F40" w14:textId="77777777" w:rsidR="00DF4C51" w:rsidRDefault="00DF4C51" w:rsidP="00DF4C51">
      <w:pPr>
        <w:tabs>
          <w:tab w:val="left" w:pos="-1440"/>
        </w:tabs>
        <w:snapToGrid w:val="0"/>
        <w:jc w:val="both"/>
        <w:rPr>
          <w:rFonts w:cs="Times New Roman"/>
        </w:rPr>
      </w:pPr>
    </w:p>
    <w:p w14:paraId="0BDBFB3F" w14:textId="77777777" w:rsidR="00DF4C51" w:rsidRDefault="00DF4C51" w:rsidP="00DF4C51">
      <w:pPr>
        <w:jc w:val="both"/>
        <w:rPr>
          <w:rFonts w:cs="Times New Roman"/>
        </w:rPr>
      </w:pPr>
      <w:r w:rsidRPr="008951D1">
        <w:rPr>
          <w:rFonts w:eastAsia="Cambria" w:cs="Times New Roman"/>
        </w:rPr>
        <w:t xml:space="preserve">Dès lors, sur base de cet article, </w:t>
      </w:r>
      <w:r>
        <w:rPr>
          <w:rFonts w:eastAsia="Cambria" w:cs="Times New Roman"/>
        </w:rPr>
        <w:t xml:space="preserve">s’agissant d’un jugement avant dire droit, </w:t>
      </w:r>
      <w:r w:rsidRPr="008951D1">
        <w:rPr>
          <w:rFonts w:eastAsia="Cambria" w:cs="Times New Roman"/>
        </w:rPr>
        <w:t xml:space="preserve">l’exécution provisoire </w:t>
      </w:r>
      <w:r>
        <w:rPr>
          <w:rFonts w:eastAsia="Cambria" w:cs="Times New Roman"/>
        </w:rPr>
        <w:t>est</w:t>
      </w:r>
      <w:r w:rsidRPr="008951D1">
        <w:rPr>
          <w:rFonts w:eastAsia="Cambria" w:cs="Times New Roman"/>
        </w:rPr>
        <w:t xml:space="preserve"> de droit</w:t>
      </w:r>
      <w:r>
        <w:rPr>
          <w:rFonts w:eastAsia="Cambria" w:cs="Times New Roman"/>
        </w:rPr>
        <w:t>.  Aussi</w:t>
      </w:r>
      <w:r w:rsidRPr="008951D1">
        <w:rPr>
          <w:rFonts w:eastAsia="Cambria" w:cs="Times New Roman"/>
        </w:rPr>
        <w:t xml:space="preserve">, le présent jugement sera </w:t>
      </w:r>
      <w:r w:rsidRPr="008951D1">
        <w:rPr>
          <w:rFonts w:cs="Times New Roman"/>
        </w:rPr>
        <w:t>d</w:t>
      </w:r>
      <w:r>
        <w:rPr>
          <w:rFonts w:cs="Times New Roman"/>
        </w:rPr>
        <w:t>éclaré exécutoire par provision.</w:t>
      </w:r>
    </w:p>
    <w:p w14:paraId="11425012" w14:textId="77777777" w:rsidR="00DF4C51" w:rsidRDefault="00DF4C51" w:rsidP="00DF4C51">
      <w:pPr>
        <w:tabs>
          <w:tab w:val="left" w:pos="-1440"/>
        </w:tabs>
        <w:snapToGrid w:val="0"/>
        <w:jc w:val="both"/>
        <w:rPr>
          <w:bCs/>
          <w:color w:val="000000"/>
        </w:rPr>
      </w:pPr>
    </w:p>
    <w:p w14:paraId="38066E26" w14:textId="77777777" w:rsidR="00DF4C51" w:rsidRPr="006634EC" w:rsidRDefault="00DF4C51" w:rsidP="00DF4C51">
      <w:pPr>
        <w:jc w:val="both"/>
        <w:rPr>
          <w:rFonts w:cs="Times New Roman"/>
        </w:rPr>
      </w:pPr>
      <w:r>
        <w:rPr>
          <w:rFonts w:cs="Times New Roman"/>
        </w:rPr>
        <w:t>En effet, le tri</w:t>
      </w:r>
      <w:r w:rsidRPr="006634EC">
        <w:rPr>
          <w:rFonts w:cs="Times New Roman"/>
        </w:rPr>
        <w:t>bunal constate que les choix du législateur sont clairs, tant</w:t>
      </w:r>
      <w:r>
        <w:rPr>
          <w:rFonts w:cs="Times New Roman"/>
        </w:rPr>
        <w:t xml:space="preserve"> pour</w:t>
      </w:r>
      <w:r w:rsidRPr="006634EC">
        <w:rPr>
          <w:rFonts w:cs="Times New Roman"/>
        </w:rPr>
        <w:t xml:space="preserve"> l’article 1050 que </w:t>
      </w:r>
      <w:r>
        <w:rPr>
          <w:rFonts w:cs="Times New Roman"/>
        </w:rPr>
        <w:t>pour</w:t>
      </w:r>
      <w:r w:rsidRPr="006634EC">
        <w:rPr>
          <w:rFonts w:cs="Times New Roman"/>
        </w:rPr>
        <w:t xml:space="preserve"> l’article 1397 du code judiciaire.</w:t>
      </w:r>
    </w:p>
    <w:p w14:paraId="69BC76B4" w14:textId="77777777" w:rsidR="00DF4C51" w:rsidRPr="006634EC" w:rsidRDefault="00DF4C51" w:rsidP="00DF4C51">
      <w:pPr>
        <w:jc w:val="both"/>
        <w:rPr>
          <w:rFonts w:cs="Times New Roman"/>
        </w:rPr>
      </w:pPr>
    </w:p>
    <w:p w14:paraId="7E22BB7E" w14:textId="77777777" w:rsidR="00DF4C51" w:rsidRPr="006634EC" w:rsidRDefault="00DF4C51" w:rsidP="00DF4C51">
      <w:pPr>
        <w:jc w:val="both"/>
        <w:rPr>
          <w:rFonts w:cs="Times New Roman"/>
        </w:rPr>
      </w:pPr>
      <w:r w:rsidRPr="006634EC">
        <w:rPr>
          <w:rFonts w:cs="Times New Roman"/>
        </w:rPr>
        <w:t>Ces modifications légales ont pour but d’éviter la multiplication des procédures d’appel, et de permettre aux procédures de ne pas s’enliser plus que nécessaire, et ce au bénéfice de tous.</w:t>
      </w:r>
    </w:p>
    <w:p w14:paraId="157FC464" w14:textId="77777777" w:rsidR="00DF4C51" w:rsidRPr="006634EC" w:rsidRDefault="00DF4C51" w:rsidP="00DF4C51">
      <w:pPr>
        <w:jc w:val="both"/>
        <w:rPr>
          <w:rFonts w:cs="Times New Roman"/>
        </w:rPr>
      </w:pPr>
    </w:p>
    <w:p w14:paraId="619DEE4B" w14:textId="77777777" w:rsidR="00DF4C51" w:rsidRPr="006634EC" w:rsidRDefault="00DF4C51" w:rsidP="00DF4C51">
      <w:pPr>
        <w:jc w:val="both"/>
        <w:rPr>
          <w:rFonts w:cs="Times New Roman"/>
        </w:rPr>
      </w:pPr>
      <w:r w:rsidRPr="006634EC">
        <w:rPr>
          <w:rFonts w:cs="Times New Roman"/>
        </w:rPr>
        <w:t>Dans ce contexte, et constatant que de manière générale, le législateur n’a pas souhaité soustraire le contentieux des maladies professionnelles des lignes dire</w:t>
      </w:r>
      <w:r>
        <w:rPr>
          <w:rFonts w:cs="Times New Roman"/>
        </w:rPr>
        <w:t>ctrices générales arrêtées, le t</w:t>
      </w:r>
      <w:r w:rsidRPr="006634EC">
        <w:rPr>
          <w:rFonts w:cs="Times New Roman"/>
        </w:rPr>
        <w:t>ribunal n’y dérogera pas, dans le cas d’espèce.</w:t>
      </w:r>
    </w:p>
    <w:p w14:paraId="02CB9568" w14:textId="77777777" w:rsidR="00DF4C51" w:rsidRPr="006634EC" w:rsidRDefault="00DF4C51" w:rsidP="00DF4C51">
      <w:pPr>
        <w:jc w:val="both"/>
        <w:rPr>
          <w:rFonts w:cs="Times New Roman"/>
        </w:rPr>
      </w:pPr>
    </w:p>
    <w:p w14:paraId="572F684F" w14:textId="77777777" w:rsidR="00DF4C51" w:rsidRPr="006634EC" w:rsidRDefault="00DF4C51" w:rsidP="00DF4C51">
      <w:pPr>
        <w:jc w:val="both"/>
        <w:rPr>
          <w:rFonts w:cs="Times New Roman"/>
        </w:rPr>
      </w:pPr>
      <w:r w:rsidRPr="006634EC">
        <w:rPr>
          <w:rFonts w:cs="Times New Roman"/>
        </w:rPr>
        <w:t xml:space="preserve">En </w:t>
      </w:r>
      <w:r>
        <w:rPr>
          <w:rFonts w:cs="Times New Roman"/>
        </w:rPr>
        <w:t xml:space="preserve">conclusion, en </w:t>
      </w:r>
      <w:r w:rsidRPr="006634EC">
        <w:rPr>
          <w:rFonts w:cs="Times New Roman"/>
        </w:rPr>
        <w:t xml:space="preserve">l’absence de toute particularité </w:t>
      </w:r>
      <w:r w:rsidR="00523396">
        <w:rPr>
          <w:rFonts w:cs="Times New Roman"/>
        </w:rPr>
        <w:t>mise en exergue par FEDRIS, le t</w:t>
      </w:r>
      <w:r w:rsidRPr="006634EC">
        <w:rPr>
          <w:rFonts w:cs="Times New Roman"/>
        </w:rPr>
        <w:t>ribunal ne dérogera pas aux principes repris aux articles 1050 et 1397 du code judiciaire.</w:t>
      </w:r>
    </w:p>
    <w:p w14:paraId="50C17B03" w14:textId="77777777" w:rsidR="00DD6672" w:rsidRDefault="00DD6672" w:rsidP="00DD6672">
      <w:pPr>
        <w:tabs>
          <w:tab w:val="left" w:pos="-1440"/>
        </w:tabs>
        <w:snapToGrid w:val="0"/>
        <w:jc w:val="both"/>
        <w:rPr>
          <w:rFonts w:cs="Times New Roman"/>
        </w:rPr>
      </w:pPr>
    </w:p>
    <w:p w14:paraId="29990A8B" w14:textId="77777777" w:rsidR="00B722A9" w:rsidRPr="001A0501" w:rsidRDefault="00B722A9" w:rsidP="00DD6672">
      <w:pPr>
        <w:tabs>
          <w:tab w:val="left" w:pos="-1440"/>
        </w:tabs>
        <w:snapToGrid w:val="0"/>
        <w:jc w:val="both"/>
        <w:rPr>
          <w:rFonts w:cs="Times New Roman"/>
          <w:u w:val="single"/>
        </w:rPr>
      </w:pPr>
    </w:p>
    <w:p w14:paraId="6F3631E9" w14:textId="77777777" w:rsidR="00DD6672" w:rsidRPr="001A0501" w:rsidRDefault="00DD6672" w:rsidP="007E7C7C">
      <w:pPr>
        <w:pStyle w:val="Paragraphedeliste"/>
        <w:numPr>
          <w:ilvl w:val="0"/>
          <w:numId w:val="15"/>
        </w:numPr>
        <w:tabs>
          <w:tab w:val="left" w:pos="-1440"/>
        </w:tabs>
        <w:snapToGrid w:val="0"/>
        <w:jc w:val="both"/>
        <w:rPr>
          <w:rFonts w:cs="Times New Roman"/>
          <w:b/>
          <w:u w:val="single"/>
        </w:rPr>
      </w:pPr>
      <w:r w:rsidRPr="001A0501">
        <w:rPr>
          <w:rFonts w:cs="Times New Roman"/>
          <w:b/>
          <w:u w:val="single"/>
        </w:rPr>
        <w:t>L’autorisation de payer directement l’état de frais et honoraires du(des) sapiteur(s) désigné(s).</w:t>
      </w:r>
    </w:p>
    <w:p w14:paraId="0D25B96C" w14:textId="77777777" w:rsidR="00DD6672" w:rsidRDefault="00DD6672" w:rsidP="00DD6672">
      <w:pPr>
        <w:tabs>
          <w:tab w:val="left" w:pos="-1440"/>
        </w:tabs>
        <w:snapToGrid w:val="0"/>
        <w:jc w:val="both"/>
        <w:rPr>
          <w:rFonts w:cs="Times New Roman"/>
        </w:rPr>
      </w:pPr>
    </w:p>
    <w:p w14:paraId="7B472EC9" w14:textId="77777777" w:rsidR="005872F4" w:rsidRDefault="005872F4" w:rsidP="005872F4">
      <w:pPr>
        <w:tabs>
          <w:tab w:val="left" w:pos="-1440"/>
        </w:tabs>
        <w:snapToGrid w:val="0"/>
        <w:jc w:val="both"/>
        <w:rPr>
          <w:rFonts w:cs="Times New Roman"/>
          <w:bCs/>
          <w:lang w:val="fr-FR"/>
        </w:rPr>
      </w:pPr>
      <w:r>
        <w:rPr>
          <w:rFonts w:cs="Times New Roman"/>
          <w:bCs/>
          <w:lang w:val="fr-FR"/>
        </w:rPr>
        <w:t xml:space="preserve">Le tribunal estime </w:t>
      </w:r>
      <w:r w:rsidRPr="009E3A63">
        <w:rPr>
          <w:rFonts w:cs="Times New Roman"/>
          <w:bCs/>
          <w:lang w:val="fr-FR"/>
        </w:rPr>
        <w:t xml:space="preserve">devoir attirer l’attention de </w:t>
      </w:r>
      <w:r>
        <w:rPr>
          <w:rFonts w:cs="Times New Roman"/>
          <w:bCs/>
          <w:lang w:val="fr-FR"/>
        </w:rPr>
        <w:t xml:space="preserve">la partie défenderesse et ultérieurement de </w:t>
      </w:r>
      <w:r w:rsidRPr="009E3A63">
        <w:rPr>
          <w:rFonts w:cs="Times New Roman"/>
          <w:bCs/>
          <w:lang w:val="fr-FR"/>
        </w:rPr>
        <w:t>l’expert</w:t>
      </w:r>
      <w:r>
        <w:rPr>
          <w:rFonts w:cs="Times New Roman"/>
          <w:bCs/>
          <w:lang w:val="fr-FR"/>
        </w:rPr>
        <w:t xml:space="preserve"> judiciaire</w:t>
      </w:r>
      <w:r w:rsidRPr="009E3A63">
        <w:rPr>
          <w:rFonts w:cs="Times New Roman"/>
          <w:bCs/>
          <w:lang w:val="fr-FR"/>
        </w:rPr>
        <w:t xml:space="preserve"> sur les textes composant la section VI intitulée « L’expertise » du Chapitre VIII, Titre III, Livre II de la Quatrième partie du Code judiciaire et sur le texte de l’article 509</w:t>
      </w:r>
      <w:r w:rsidRPr="009E3A63">
        <w:rPr>
          <w:rFonts w:cs="Times New Roman"/>
          <w:bCs/>
          <w:i/>
          <w:iCs/>
          <w:lang w:val="fr-FR"/>
        </w:rPr>
        <w:t>quater</w:t>
      </w:r>
      <w:r w:rsidRPr="009E3A63">
        <w:rPr>
          <w:rFonts w:cs="Times New Roman"/>
          <w:bCs/>
          <w:lang w:val="fr-FR"/>
        </w:rPr>
        <w:t xml:space="preserve"> du Code pénal qui dispose que « </w:t>
      </w:r>
      <w:r w:rsidRPr="00097A8B">
        <w:rPr>
          <w:rFonts w:cs="Times New Roman"/>
          <w:bCs/>
          <w:i/>
          <w:lang w:val="fr-FR"/>
        </w:rPr>
        <w:t xml:space="preserve">Sera puni d’un emprisonnement de huit jours à trois mois et d’une amende de deux cents euros à quinze cents euros, ou d’une de ces peines seulement, l’expert qui, sachant qu’un paiement direct n’est pas </w:t>
      </w:r>
      <w:r w:rsidRPr="00097A8B">
        <w:rPr>
          <w:rFonts w:cs="Times New Roman"/>
          <w:bCs/>
          <w:i/>
          <w:lang w:val="fr-FR"/>
        </w:rPr>
        <w:lastRenderedPageBreak/>
        <w:t>autorisé, l’accepte malgré tout d’une partie à la cause</w:t>
      </w:r>
      <w:r w:rsidRPr="009E3A63">
        <w:rPr>
          <w:rFonts w:cs="Times New Roman"/>
          <w:bCs/>
          <w:lang w:val="fr-FR"/>
        </w:rPr>
        <w:t> »</w:t>
      </w:r>
      <w:r>
        <w:rPr>
          <w:rFonts w:cs="Times New Roman"/>
          <w:bCs/>
          <w:lang w:val="fr-FR"/>
        </w:rPr>
        <w:t>.</w:t>
      </w:r>
    </w:p>
    <w:p w14:paraId="74DACAF4" w14:textId="77777777" w:rsidR="005872F4" w:rsidRDefault="005872F4" w:rsidP="005872F4">
      <w:pPr>
        <w:tabs>
          <w:tab w:val="left" w:pos="-1440"/>
        </w:tabs>
        <w:snapToGrid w:val="0"/>
        <w:jc w:val="both"/>
        <w:rPr>
          <w:rFonts w:cs="Times New Roman"/>
          <w:bCs/>
          <w:lang w:val="fr-FR"/>
        </w:rPr>
      </w:pPr>
    </w:p>
    <w:p w14:paraId="08A8EF40" w14:textId="77777777" w:rsidR="005872F4" w:rsidRDefault="005872F4" w:rsidP="005872F4">
      <w:pPr>
        <w:tabs>
          <w:tab w:val="left" w:pos="-1440"/>
        </w:tabs>
        <w:snapToGrid w:val="0"/>
        <w:jc w:val="both"/>
        <w:rPr>
          <w:rFonts w:cs="Times New Roman"/>
        </w:rPr>
      </w:pPr>
      <w:r>
        <w:rPr>
          <w:rFonts w:cs="Times New Roman"/>
          <w:bCs/>
          <w:lang w:val="fr-FR"/>
        </w:rPr>
        <w:t>Aussi, le tribunal refuse de faire droit à la demande visant à permettre à la partie défenderesse de payer directement au(x) sapiteur(s) désigné(s) ainsi qu’à l’expert judiciaire l’état de frais et honoraires sollicité.</w:t>
      </w:r>
    </w:p>
    <w:p w14:paraId="53EF206C" w14:textId="77777777" w:rsidR="005872F4" w:rsidRDefault="005872F4" w:rsidP="005872F4">
      <w:pPr>
        <w:tabs>
          <w:tab w:val="left" w:pos="-1440"/>
        </w:tabs>
        <w:snapToGrid w:val="0"/>
        <w:jc w:val="both"/>
        <w:rPr>
          <w:rFonts w:cs="Times New Roman"/>
          <w:lang w:val="fr-FR"/>
        </w:rPr>
      </w:pPr>
    </w:p>
    <w:p w14:paraId="17BBB597" w14:textId="77777777" w:rsidR="005872F4" w:rsidRPr="00CA77CF" w:rsidRDefault="005872F4" w:rsidP="005872F4">
      <w:pPr>
        <w:tabs>
          <w:tab w:val="left" w:pos="-1440"/>
        </w:tabs>
        <w:snapToGrid w:val="0"/>
        <w:jc w:val="both"/>
        <w:rPr>
          <w:rFonts w:cs="Times New Roman"/>
          <w:lang w:val="fr-FR"/>
        </w:rPr>
      </w:pPr>
      <w:r w:rsidRPr="00CA77CF">
        <w:rPr>
          <w:rFonts w:cs="Times New Roman"/>
          <w:bCs/>
          <w:lang w:val="fr-FR"/>
        </w:rPr>
        <w:t>Par ailleurs, le tribunal précise qu’</w:t>
      </w:r>
      <w:r w:rsidRPr="00CA77CF">
        <w:rPr>
          <w:rFonts w:cs="Times New Roman"/>
          <w:lang w:val="fr-FR"/>
        </w:rPr>
        <w:t xml:space="preserve">à défaut d’une contestation de l’état des frais et honoraires de l’expert </w:t>
      </w:r>
      <w:r w:rsidRPr="00CA77CF">
        <w:rPr>
          <w:rFonts w:cs="Times New Roman"/>
          <w:b/>
          <w:u w:val="single"/>
          <w:lang w:val="fr-FR"/>
        </w:rPr>
        <w:t>détaillé conformément à l’article 990 du Code judiciaire</w:t>
      </w:r>
      <w:r w:rsidRPr="00CA77CF">
        <w:rPr>
          <w:rFonts w:cs="Times New Roman"/>
          <w:lang w:val="fr-FR"/>
        </w:rPr>
        <w:t xml:space="preserve"> dans les 30 jours du dépôt de celui-ci au greffe, son état pourra être taxé d’office.</w:t>
      </w:r>
    </w:p>
    <w:p w14:paraId="173219FB" w14:textId="77777777" w:rsidR="005872F4" w:rsidRPr="00CA77CF" w:rsidRDefault="005872F4" w:rsidP="005872F4">
      <w:pPr>
        <w:tabs>
          <w:tab w:val="left" w:pos="-1440"/>
        </w:tabs>
        <w:snapToGrid w:val="0"/>
        <w:jc w:val="both"/>
        <w:rPr>
          <w:rFonts w:cs="Times New Roman"/>
          <w:lang w:val="fr-FR"/>
        </w:rPr>
      </w:pPr>
      <w:r w:rsidRPr="00CA77CF">
        <w:rPr>
          <w:rFonts w:cs="Times New Roman"/>
          <w:lang w:val="fr-FR"/>
        </w:rPr>
        <w:t>Cet état de frais et honoraires comprendra le détail des sommes réclamées par les sapiteurs.</w:t>
      </w:r>
    </w:p>
    <w:p w14:paraId="781B6788" w14:textId="77777777" w:rsidR="005872F4" w:rsidRPr="00CA77CF" w:rsidRDefault="005872F4" w:rsidP="005872F4">
      <w:pPr>
        <w:tabs>
          <w:tab w:val="left" w:pos="-1440"/>
        </w:tabs>
        <w:snapToGrid w:val="0"/>
        <w:jc w:val="both"/>
        <w:rPr>
          <w:rFonts w:cs="Times New Roman"/>
          <w:lang w:val="fr-FR"/>
        </w:rPr>
      </w:pPr>
    </w:p>
    <w:p w14:paraId="4E5FB2D5" w14:textId="77777777" w:rsidR="005872F4" w:rsidRPr="00CA77CF" w:rsidRDefault="005872F4" w:rsidP="005872F4">
      <w:pPr>
        <w:rPr>
          <w:rFonts w:cs="Times New Roman"/>
          <w:i/>
        </w:rPr>
      </w:pPr>
      <w:r w:rsidRPr="00CA77CF">
        <w:rPr>
          <w:rFonts w:cs="Times New Roman"/>
        </w:rPr>
        <w:t xml:space="preserve">Enfin, l'article 7 de l'arrêté royal du 25 avril 2017 fixant le code de déontologie des experts judiciaires en application de l'article 991quater, 7°, du Code judiciaire prévoit : </w:t>
      </w:r>
      <w:r w:rsidRPr="00CA77CF">
        <w:rPr>
          <w:rFonts w:cs="Times New Roman"/>
          <w:i/>
          <w:noProof/>
          <w:lang w:val="en-GB" w:eastAsia="en-GB"/>
        </w:rPr>
        <w:drawing>
          <wp:anchor distT="0" distB="0" distL="114300" distR="114300" simplePos="0" relativeHeight="251661312" behindDoc="0" locked="0" layoutInCell="1" allowOverlap="0" wp14:anchorId="1D25C39A" wp14:editId="4CCDB02E">
            <wp:simplePos x="0" y="0"/>
            <wp:positionH relativeFrom="page">
              <wp:posOffset>6511290</wp:posOffset>
            </wp:positionH>
            <wp:positionV relativeFrom="page">
              <wp:posOffset>5467985</wp:posOffset>
            </wp:positionV>
            <wp:extent cx="4445" cy="444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CF">
        <w:rPr>
          <w:rFonts w:cs="Times New Roman"/>
          <w:i/>
          <w:noProof/>
          <w:lang w:val="en-GB" w:eastAsia="en-GB"/>
        </w:rPr>
        <w:drawing>
          <wp:anchor distT="0" distB="0" distL="114300" distR="114300" simplePos="0" relativeHeight="251662336" behindDoc="0" locked="0" layoutInCell="1" allowOverlap="0" wp14:anchorId="09ECA842" wp14:editId="56FFB3C2">
            <wp:simplePos x="0" y="0"/>
            <wp:positionH relativeFrom="page">
              <wp:posOffset>6511290</wp:posOffset>
            </wp:positionH>
            <wp:positionV relativeFrom="page">
              <wp:posOffset>5476875</wp:posOffset>
            </wp:positionV>
            <wp:extent cx="4445" cy="44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CF">
        <w:rPr>
          <w:rFonts w:cs="Times New Roman"/>
          <w:i/>
        </w:rPr>
        <w:t xml:space="preserve">L'expert judiciaire ne fera appel à des sapiteurs ou des experts du domaine dont les Connaissances techniques lui sont nécessaires pour réaliser son expertise ou parvenir à des conclusions qu'après avoir obtenu l'autorisation préalable de </w:t>
      </w:r>
      <w:r w:rsidRPr="00CA77CF">
        <w:rPr>
          <w:rFonts w:cs="Times New Roman"/>
          <w:i/>
          <w:noProof/>
          <w:lang w:val="en-GB" w:eastAsia="en-GB"/>
        </w:rPr>
        <w:drawing>
          <wp:inline distT="0" distB="0" distL="0" distR="0" wp14:anchorId="2A9FF3C4" wp14:editId="55577B52">
            <wp:extent cx="47625" cy="571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r w:rsidRPr="00CA77CF">
        <w:rPr>
          <w:rFonts w:cs="Times New Roman"/>
          <w:i/>
        </w:rPr>
        <w:t>l'autorité mandante, et en matière civile conformément à l'article 972, § 2, alinéa 7, 3°, du Code judiciaire. Les sapiteurs ou experts du domaine opèrent sous la responsabilité de l'expert. En matière civile, leurs frais et honoraires sont réglés par l'expert. »</w:t>
      </w:r>
    </w:p>
    <w:p w14:paraId="485C7AE8" w14:textId="77777777" w:rsidR="005872F4" w:rsidRPr="00CA77CF" w:rsidRDefault="005872F4" w:rsidP="005872F4">
      <w:pPr>
        <w:ind w:left="-851"/>
        <w:rPr>
          <w:rFonts w:cs="Times New Roman"/>
        </w:rPr>
      </w:pPr>
    </w:p>
    <w:p w14:paraId="1EE3F4D8" w14:textId="77777777" w:rsidR="005872F4" w:rsidRPr="00CA77CF" w:rsidRDefault="005872F4" w:rsidP="005872F4">
      <w:pPr>
        <w:ind w:left="-851" w:firstLine="851"/>
        <w:rPr>
          <w:rFonts w:cs="Times New Roman"/>
        </w:rPr>
      </w:pPr>
      <w:r w:rsidRPr="00CA77CF">
        <w:rPr>
          <w:rFonts w:cs="Times New Roman"/>
        </w:rPr>
        <w:t xml:space="preserve">Dès lors, dans le but de maintenir la parfaite indépendance des sapiteurs à l'égard des </w:t>
      </w:r>
    </w:p>
    <w:p w14:paraId="2A34BECA" w14:textId="77777777" w:rsidR="005872F4" w:rsidRPr="00CA77CF" w:rsidRDefault="005872F4" w:rsidP="005872F4">
      <w:pPr>
        <w:ind w:left="-851" w:firstLine="851"/>
        <w:rPr>
          <w:rFonts w:cs="Times New Roman"/>
        </w:rPr>
      </w:pPr>
      <w:r w:rsidRPr="00CA77CF">
        <w:rPr>
          <w:rFonts w:cs="Times New Roman"/>
        </w:rPr>
        <w:t xml:space="preserve">parties, </w:t>
      </w:r>
      <w:r w:rsidRPr="00CA77CF">
        <w:rPr>
          <w:rFonts w:cs="Times New Roman"/>
          <w:noProof/>
          <w:lang w:val="en-GB" w:eastAsia="en-GB"/>
        </w:rPr>
        <w:drawing>
          <wp:inline distT="0" distB="0" distL="0" distR="0" wp14:anchorId="1822DFD1" wp14:editId="0CF12567">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7CF">
        <w:rPr>
          <w:rFonts w:cs="Times New Roman"/>
        </w:rPr>
        <w:t>c'est à l'expert qu'ils doivent adresser leurs états de frais et honoraires.</w:t>
      </w:r>
    </w:p>
    <w:p w14:paraId="44880753" w14:textId="77777777" w:rsidR="005872F4" w:rsidRDefault="005872F4" w:rsidP="005872F4">
      <w:pPr>
        <w:tabs>
          <w:tab w:val="left" w:pos="-1440"/>
        </w:tabs>
        <w:snapToGrid w:val="0"/>
        <w:jc w:val="both"/>
        <w:rPr>
          <w:rFonts w:cs="Times New Roman"/>
        </w:rPr>
      </w:pPr>
      <w:r w:rsidRPr="00CA77CF">
        <w:rPr>
          <w:rFonts w:cs="Times New Roman"/>
        </w:rPr>
        <w:t xml:space="preserve">Le tribunal prévoit d'ailleurs la consignation d'une provision mise à disposition de l'expert, notamment pour pouvoir payer les états de frais et honoraires d'éventuels </w:t>
      </w:r>
      <w:r w:rsidRPr="00CA77CF">
        <w:rPr>
          <w:rFonts w:cs="Times New Roman"/>
          <w:noProof/>
          <w:lang w:val="en-GB" w:eastAsia="en-GB"/>
        </w:rPr>
        <w:drawing>
          <wp:inline distT="0" distB="0" distL="0" distR="0" wp14:anchorId="1A34970B" wp14:editId="6E93446E">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77CF">
        <w:rPr>
          <w:rFonts w:cs="Times New Roman"/>
        </w:rPr>
        <w:t>sapiteurs auxquels il estimerait utile de recourir.</w:t>
      </w:r>
    </w:p>
    <w:p w14:paraId="318DE0FB" w14:textId="77777777" w:rsidR="004E3F2B" w:rsidRDefault="004E3F2B" w:rsidP="00DD6672">
      <w:pPr>
        <w:tabs>
          <w:tab w:val="left" w:pos="-1440"/>
        </w:tabs>
        <w:snapToGrid w:val="0"/>
        <w:jc w:val="both"/>
        <w:rPr>
          <w:rFonts w:cs="Times New Roman"/>
        </w:rPr>
      </w:pPr>
    </w:p>
    <w:p w14:paraId="2AFCD141" w14:textId="77777777" w:rsidR="00DD6672" w:rsidRPr="0055663C" w:rsidRDefault="00DD6672" w:rsidP="00302E61">
      <w:pPr>
        <w:tabs>
          <w:tab w:val="left" w:pos="-1440"/>
        </w:tabs>
        <w:snapToGrid w:val="0"/>
        <w:jc w:val="both"/>
        <w:rPr>
          <w:rFonts w:cs="Times New Roman"/>
          <w:b/>
          <w:bCs/>
          <w:lang w:val="fr-FR"/>
        </w:rPr>
      </w:pPr>
    </w:p>
    <w:p w14:paraId="3FF47CCF" w14:textId="77777777" w:rsidR="00302E61" w:rsidRPr="00476165" w:rsidRDefault="00302E61" w:rsidP="00302E61">
      <w:pPr>
        <w:tabs>
          <w:tab w:val="left" w:pos="-1440"/>
        </w:tabs>
        <w:snapToGrid w:val="0"/>
        <w:jc w:val="center"/>
        <w:rPr>
          <w:rFonts w:cs="Times New Roman"/>
          <w:b/>
          <w:lang w:val="fr-FR"/>
        </w:rPr>
      </w:pPr>
      <w:r w:rsidRPr="00476165">
        <w:rPr>
          <w:rFonts w:cs="Times New Roman"/>
          <w:b/>
          <w:lang w:val="fr-FR"/>
        </w:rPr>
        <w:t>PAR CES MOTIFS,</w:t>
      </w:r>
    </w:p>
    <w:p w14:paraId="2164F502" w14:textId="77777777" w:rsidR="00302E61" w:rsidRDefault="00302E61" w:rsidP="00302E61">
      <w:pPr>
        <w:tabs>
          <w:tab w:val="left" w:pos="-1440"/>
        </w:tabs>
        <w:snapToGrid w:val="0"/>
        <w:jc w:val="both"/>
        <w:rPr>
          <w:rFonts w:cs="Times New Roman"/>
          <w:lang w:val="fr-FR"/>
        </w:rPr>
      </w:pPr>
    </w:p>
    <w:p w14:paraId="3917FF1B" w14:textId="77777777" w:rsidR="004E3F2B" w:rsidRPr="00476165" w:rsidRDefault="004E3F2B" w:rsidP="00302E61">
      <w:pPr>
        <w:tabs>
          <w:tab w:val="left" w:pos="-1440"/>
        </w:tabs>
        <w:snapToGrid w:val="0"/>
        <w:jc w:val="both"/>
        <w:rPr>
          <w:rFonts w:cs="Times New Roman"/>
          <w:lang w:val="fr-FR"/>
        </w:rPr>
      </w:pPr>
    </w:p>
    <w:p w14:paraId="68A27D2E" w14:textId="77777777" w:rsidR="00302E61" w:rsidRPr="00476165" w:rsidRDefault="00302E61" w:rsidP="00302E61">
      <w:pPr>
        <w:tabs>
          <w:tab w:val="left" w:pos="-1440"/>
        </w:tabs>
        <w:snapToGrid w:val="0"/>
        <w:jc w:val="both"/>
        <w:rPr>
          <w:rFonts w:cs="Times New Roman"/>
          <w:lang w:val="fr-FR"/>
        </w:rPr>
      </w:pPr>
      <w:r w:rsidRPr="00150AF4">
        <w:rPr>
          <w:rFonts w:cs="Times New Roman"/>
          <w:b/>
          <w:caps/>
          <w:lang w:val="fr-FR"/>
        </w:rPr>
        <w:t>Le Tribunal</w:t>
      </w:r>
      <w:r w:rsidRPr="00150AF4">
        <w:rPr>
          <w:rFonts w:cs="Times New Roman"/>
          <w:caps/>
          <w:lang w:val="fr-FR"/>
        </w:rPr>
        <w:t>,</w:t>
      </w:r>
      <w:r w:rsidRPr="00476165">
        <w:rPr>
          <w:rFonts w:cs="Times New Roman"/>
          <w:lang w:val="fr-FR"/>
        </w:rPr>
        <w:t xml:space="preserve"> après en avoir délibéré ;</w:t>
      </w:r>
    </w:p>
    <w:p w14:paraId="3CA94DC4"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ab/>
      </w:r>
    </w:p>
    <w:p w14:paraId="46191BF0" w14:textId="77777777" w:rsidR="00302E61" w:rsidRPr="00476165" w:rsidRDefault="00302E61" w:rsidP="00302E61">
      <w:pPr>
        <w:tabs>
          <w:tab w:val="left" w:pos="-1440"/>
        </w:tabs>
        <w:snapToGrid w:val="0"/>
        <w:jc w:val="both"/>
        <w:rPr>
          <w:rFonts w:cs="Times New Roman"/>
          <w:lang w:val="fr-FR"/>
        </w:rPr>
      </w:pPr>
      <w:r w:rsidRPr="00150AF4">
        <w:rPr>
          <w:rFonts w:cs="Times New Roman"/>
          <w:b/>
          <w:caps/>
          <w:lang w:val="fr-FR"/>
        </w:rPr>
        <w:t>Statuant</w:t>
      </w:r>
      <w:r w:rsidRPr="00476165">
        <w:rPr>
          <w:rFonts w:cs="Times New Roman"/>
          <w:lang w:val="fr-FR"/>
        </w:rPr>
        <w:t xml:space="preserve"> publiquement et contradictoirement ;</w:t>
      </w:r>
    </w:p>
    <w:p w14:paraId="4C51A7D2" w14:textId="77777777" w:rsidR="00302E61" w:rsidRPr="00476165" w:rsidRDefault="00302E61" w:rsidP="00302E61">
      <w:pPr>
        <w:tabs>
          <w:tab w:val="left" w:pos="-1440"/>
        </w:tabs>
        <w:snapToGrid w:val="0"/>
        <w:jc w:val="both"/>
        <w:rPr>
          <w:rFonts w:cs="Times New Roman"/>
          <w:lang w:val="fr-FR"/>
        </w:rPr>
      </w:pPr>
    </w:p>
    <w:p w14:paraId="739FF0C3"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t>Reçoit le recours ;</w:t>
      </w:r>
    </w:p>
    <w:p w14:paraId="59E461FF" w14:textId="77777777" w:rsidR="00302E61" w:rsidRPr="00476165" w:rsidRDefault="00302E61" w:rsidP="00302E61">
      <w:pPr>
        <w:tabs>
          <w:tab w:val="left" w:pos="-1440"/>
        </w:tabs>
        <w:snapToGrid w:val="0"/>
        <w:jc w:val="both"/>
        <w:rPr>
          <w:rFonts w:cs="Times New Roman"/>
          <w:lang w:val="fr-FR"/>
        </w:rPr>
      </w:pPr>
    </w:p>
    <w:p w14:paraId="299068E7" w14:textId="77777777" w:rsidR="00302E61" w:rsidRPr="00FE5C46" w:rsidRDefault="00302E61" w:rsidP="00874215">
      <w:pPr>
        <w:rPr>
          <w:rFonts w:cs="Times New Roman"/>
          <w:b/>
        </w:rPr>
      </w:pPr>
      <w:r w:rsidRPr="00476165">
        <w:rPr>
          <w:rFonts w:cs="Times New Roman"/>
          <w:lang w:val="fr-FR"/>
        </w:rPr>
        <w:t xml:space="preserve">Avant de statuer plus avant en la cause, tous droits saufs et réservés des parties quant à ce, </w:t>
      </w:r>
      <w:r w:rsidRPr="00476165">
        <w:rPr>
          <w:rFonts w:cs="Times New Roman"/>
          <w:b/>
          <w:bCs/>
          <w:lang w:val="fr-FR"/>
        </w:rPr>
        <w:t>DESIGNE</w:t>
      </w:r>
      <w:r w:rsidRPr="00476165">
        <w:rPr>
          <w:rFonts w:cs="Times New Roman"/>
          <w:lang w:val="fr-FR"/>
        </w:rPr>
        <w:t xml:space="preserve"> en qualité d’expert</w:t>
      </w:r>
      <w:r w:rsidRPr="00476165">
        <w:rPr>
          <w:rFonts w:cs="Times New Roman"/>
          <w:bCs/>
          <w:lang w:val="fr-FR"/>
        </w:rPr>
        <w:t xml:space="preserve">, </w:t>
      </w:r>
      <w:r w:rsidR="00FE5C46" w:rsidRPr="00663ED5">
        <w:rPr>
          <w:rStyle w:val="locality"/>
          <w:rFonts w:cs="Times New Roman"/>
          <w:b/>
        </w:rPr>
        <w:t>le Docteur Françoise BABILONE, ayant son cabinet à</w:t>
      </w:r>
      <w:r w:rsidR="00FE5C46" w:rsidRPr="00663ED5">
        <w:rPr>
          <w:rFonts w:cs="Times New Roman"/>
          <w:b/>
        </w:rPr>
        <w:t xml:space="preserve"> </w:t>
      </w:r>
      <w:r w:rsidR="00FE5C46" w:rsidRPr="00663ED5">
        <w:rPr>
          <w:rStyle w:val="postal-code"/>
          <w:rFonts w:cs="Times New Roman"/>
          <w:b/>
        </w:rPr>
        <w:t>4140</w:t>
      </w:r>
      <w:r w:rsidR="00FE5C46" w:rsidRPr="00663ED5">
        <w:rPr>
          <w:rFonts w:cs="Times New Roman"/>
          <w:b/>
        </w:rPr>
        <w:t xml:space="preserve"> </w:t>
      </w:r>
      <w:proofErr w:type="spellStart"/>
      <w:r w:rsidR="00FE5C46" w:rsidRPr="00663ED5">
        <w:rPr>
          <w:rStyle w:val="locality"/>
          <w:rFonts w:cs="Times New Roman"/>
          <w:b/>
        </w:rPr>
        <w:t>Dolembreux</w:t>
      </w:r>
      <w:proofErr w:type="spellEnd"/>
      <w:r w:rsidR="00FE5C46" w:rsidRPr="00663ED5">
        <w:rPr>
          <w:rStyle w:val="locality"/>
          <w:rFonts w:cs="Times New Roman"/>
          <w:b/>
        </w:rPr>
        <w:t xml:space="preserve">, </w:t>
      </w:r>
      <w:proofErr w:type="spellStart"/>
      <w:r w:rsidR="00FE5C46" w:rsidRPr="00663ED5">
        <w:rPr>
          <w:rStyle w:val="street-address"/>
          <w:rFonts w:cs="Times New Roman"/>
          <w:b/>
        </w:rPr>
        <w:t>Hautgné</w:t>
      </w:r>
      <w:proofErr w:type="spellEnd"/>
      <w:r w:rsidR="00FE5C46" w:rsidRPr="00663ED5">
        <w:rPr>
          <w:rStyle w:val="street-address"/>
          <w:rFonts w:cs="Times New Roman"/>
          <w:b/>
        </w:rPr>
        <w:t xml:space="preserve"> 14 D</w:t>
      </w:r>
      <w:r w:rsidR="00FE5C46">
        <w:rPr>
          <w:rStyle w:val="street-address"/>
          <w:rFonts w:cs="Times New Roman"/>
          <w:b/>
        </w:rPr>
        <w:t xml:space="preserve">, </w:t>
      </w:r>
      <w:r w:rsidRPr="00476165">
        <w:rPr>
          <w:rFonts w:cs="Times New Roman"/>
          <w:lang w:val="fr-FR"/>
        </w:rPr>
        <w:t xml:space="preserve">lequel aura pour </w:t>
      </w:r>
      <w:r w:rsidRPr="00476165">
        <w:rPr>
          <w:rFonts w:cs="Times New Roman"/>
          <w:b/>
          <w:bCs/>
          <w:lang w:val="fr-FR"/>
        </w:rPr>
        <w:t>MISSION</w:t>
      </w:r>
      <w:r w:rsidRPr="00476165">
        <w:rPr>
          <w:rFonts w:cs="Times New Roman"/>
          <w:bCs/>
          <w:lang w:val="fr-FR"/>
        </w:rPr>
        <w:t>, conformément aux dispositions des articles 962 et suivants, notamment l’article 991decies, alinéa 2, du Code judiciaire</w:t>
      </w:r>
      <w:r w:rsidRPr="00476165">
        <w:rPr>
          <w:rFonts w:cs="Times New Roman"/>
          <w:lang w:val="fr-FR"/>
        </w:rPr>
        <w:t> lequel aura pour mission, en un rapport écrit et motivé, de :</w:t>
      </w:r>
    </w:p>
    <w:p w14:paraId="241523A9" w14:textId="77777777" w:rsidR="00302E61" w:rsidRDefault="00302E61" w:rsidP="00302E61">
      <w:pPr>
        <w:tabs>
          <w:tab w:val="left" w:pos="-1440"/>
        </w:tabs>
        <w:snapToGrid w:val="0"/>
        <w:jc w:val="both"/>
        <w:rPr>
          <w:rFonts w:cs="Times New Roman"/>
          <w:b/>
          <w:bCs/>
          <w:u w:val="single"/>
          <w:lang w:val="fr-FR"/>
        </w:rPr>
      </w:pPr>
    </w:p>
    <w:p w14:paraId="5A05D7A5" w14:textId="77777777" w:rsidR="00B722A9" w:rsidRPr="007A1FD3" w:rsidRDefault="007A1FD3" w:rsidP="007A1FD3">
      <w:pPr>
        <w:pStyle w:val="Paragraphedeliste"/>
        <w:numPr>
          <w:ilvl w:val="0"/>
          <w:numId w:val="28"/>
        </w:numPr>
        <w:tabs>
          <w:tab w:val="left" w:pos="-1440"/>
        </w:tabs>
        <w:snapToGrid w:val="0"/>
        <w:jc w:val="both"/>
        <w:rPr>
          <w:rFonts w:cs="Times New Roman"/>
          <w:b/>
          <w:bCs/>
          <w:lang w:val="fr-FR"/>
        </w:rPr>
      </w:pPr>
      <w:r>
        <w:rPr>
          <w:rFonts w:cs="Times New Roman"/>
          <w:b/>
          <w:bCs/>
          <w:lang w:val="fr-FR"/>
        </w:rPr>
        <w:t>La maladie hors liste</w:t>
      </w:r>
    </w:p>
    <w:p w14:paraId="2D2EB932" w14:textId="77777777" w:rsidR="00B722A9" w:rsidRPr="00476165" w:rsidRDefault="00B722A9" w:rsidP="00302E61">
      <w:pPr>
        <w:tabs>
          <w:tab w:val="left" w:pos="-1440"/>
        </w:tabs>
        <w:snapToGrid w:val="0"/>
        <w:jc w:val="both"/>
        <w:rPr>
          <w:rFonts w:cs="Times New Roman"/>
          <w:b/>
          <w:bCs/>
          <w:u w:val="single"/>
          <w:lang w:val="fr-FR"/>
        </w:rPr>
      </w:pPr>
    </w:p>
    <w:p w14:paraId="74838E59" w14:textId="77777777" w:rsidR="00302E61" w:rsidRPr="005523DA" w:rsidRDefault="00302E61" w:rsidP="003367F0">
      <w:pPr>
        <w:numPr>
          <w:ilvl w:val="0"/>
          <w:numId w:val="11"/>
        </w:numPr>
        <w:tabs>
          <w:tab w:val="clear" w:pos="720"/>
          <w:tab w:val="left" w:pos="-1440"/>
          <w:tab w:val="num" w:pos="360"/>
        </w:tabs>
        <w:snapToGrid w:val="0"/>
        <w:ind w:left="360"/>
        <w:jc w:val="both"/>
        <w:rPr>
          <w:rFonts w:cs="Times New Roman"/>
          <w:b/>
          <w:lang w:val="fr-FR"/>
        </w:rPr>
      </w:pPr>
      <w:r w:rsidRPr="005523DA">
        <w:rPr>
          <w:rFonts w:cs="Times New Roman"/>
          <w:lang w:val="fr-FR"/>
        </w:rPr>
        <w:t xml:space="preserve">Dire si la partie demanderesse présente bien </w:t>
      </w:r>
      <w:r w:rsidRPr="005523DA">
        <w:rPr>
          <w:rFonts w:cs="Times New Roman"/>
          <w:b/>
          <w:lang w:val="fr-FR"/>
        </w:rPr>
        <w:t>l</w:t>
      </w:r>
      <w:r>
        <w:rPr>
          <w:rFonts w:cs="Times New Roman"/>
          <w:b/>
          <w:lang w:val="fr-FR"/>
        </w:rPr>
        <w:t>a</w:t>
      </w:r>
      <w:r w:rsidRPr="005523DA">
        <w:rPr>
          <w:rFonts w:cs="Times New Roman"/>
          <w:b/>
          <w:lang w:val="fr-FR"/>
        </w:rPr>
        <w:t xml:space="preserve"> maladie pour laquelle la réparation est demandée;</w:t>
      </w:r>
    </w:p>
    <w:p w14:paraId="75F8EEB4" w14:textId="77777777" w:rsidR="00302E61" w:rsidRPr="00476165" w:rsidRDefault="00302E61" w:rsidP="003367F0">
      <w:pPr>
        <w:tabs>
          <w:tab w:val="left" w:pos="-1440"/>
        </w:tabs>
        <w:snapToGrid w:val="0"/>
        <w:jc w:val="both"/>
        <w:rPr>
          <w:rFonts w:cs="Times New Roman"/>
          <w:lang w:val="fr-FR"/>
        </w:rPr>
      </w:pPr>
    </w:p>
    <w:p w14:paraId="69EA71B0" w14:textId="77777777" w:rsidR="00302E61" w:rsidRPr="00B10288" w:rsidRDefault="00302E61" w:rsidP="003367F0">
      <w:pPr>
        <w:numPr>
          <w:ilvl w:val="0"/>
          <w:numId w:val="11"/>
        </w:numPr>
        <w:tabs>
          <w:tab w:val="clear" w:pos="720"/>
          <w:tab w:val="left" w:pos="-1440"/>
          <w:tab w:val="num" w:pos="360"/>
        </w:tabs>
        <w:snapToGrid w:val="0"/>
        <w:ind w:left="360"/>
        <w:jc w:val="both"/>
        <w:rPr>
          <w:rFonts w:cs="Times New Roman"/>
          <w:lang w:val="fr-FR"/>
        </w:rPr>
      </w:pPr>
      <w:r w:rsidRPr="00476165">
        <w:rPr>
          <w:rFonts w:cs="Times New Roman"/>
          <w:bCs/>
          <w:lang w:val="fr-FR"/>
        </w:rPr>
        <w:t xml:space="preserve">Dire </w:t>
      </w:r>
      <w:r w:rsidRPr="00476165">
        <w:rPr>
          <w:rFonts w:cs="Times New Roman"/>
          <w:b/>
          <w:bCs/>
          <w:lang w:val="fr-FR"/>
        </w:rPr>
        <w:t>si la partie demanderesse a été exposée au risque de la</w:t>
      </w:r>
      <w:r>
        <w:rPr>
          <w:rFonts w:cs="Times New Roman"/>
          <w:b/>
          <w:bCs/>
          <w:lang w:val="fr-FR"/>
        </w:rPr>
        <w:t xml:space="preserve"> </w:t>
      </w:r>
      <w:r w:rsidRPr="00476165">
        <w:rPr>
          <w:rFonts w:cs="Times New Roman"/>
          <w:b/>
          <w:bCs/>
          <w:lang w:val="fr-FR"/>
        </w:rPr>
        <w:t>maladie professionnelle en cause ;</w:t>
      </w:r>
    </w:p>
    <w:p w14:paraId="62186858" w14:textId="77777777" w:rsidR="00B10288" w:rsidRPr="005E2BDC" w:rsidRDefault="00B10288" w:rsidP="00B10288">
      <w:pPr>
        <w:tabs>
          <w:tab w:val="left" w:pos="-1440"/>
        </w:tabs>
        <w:snapToGrid w:val="0"/>
        <w:jc w:val="both"/>
        <w:rPr>
          <w:rFonts w:cs="Times New Roman"/>
          <w:lang w:val="fr-FR"/>
        </w:rPr>
      </w:pPr>
    </w:p>
    <w:p w14:paraId="5D67D806" w14:textId="77777777" w:rsidR="00B10288" w:rsidRPr="00B76F2F" w:rsidRDefault="00B10288" w:rsidP="00B10288">
      <w:pPr>
        <w:numPr>
          <w:ilvl w:val="0"/>
          <w:numId w:val="11"/>
        </w:numPr>
        <w:tabs>
          <w:tab w:val="clear" w:pos="720"/>
          <w:tab w:val="left" w:pos="-1440"/>
          <w:tab w:val="num" w:pos="360"/>
        </w:tabs>
        <w:snapToGrid w:val="0"/>
        <w:ind w:left="360"/>
        <w:jc w:val="both"/>
        <w:rPr>
          <w:rFonts w:cs="Times New Roman"/>
          <w:lang w:val="fr-FR"/>
        </w:rPr>
      </w:pPr>
      <w:r w:rsidRPr="00B76F2F">
        <w:rPr>
          <w:rFonts w:cs="Times New Roman"/>
          <w:bCs/>
          <w:lang w:val="fr-FR"/>
        </w:rPr>
        <w:lastRenderedPageBreak/>
        <w:t xml:space="preserve">Dans la négative, si l’exposition au risque professionnel n’était pas établie </w:t>
      </w:r>
      <w:r w:rsidR="00D90372" w:rsidRPr="00B76F2F">
        <w:rPr>
          <w:rFonts w:cs="Times New Roman"/>
          <w:bCs/>
          <w:lang w:val="fr-FR"/>
        </w:rPr>
        <w:t>et/</w:t>
      </w:r>
      <w:r w:rsidRPr="00B76F2F">
        <w:rPr>
          <w:rFonts w:cs="Times New Roman"/>
          <w:bCs/>
          <w:lang w:val="fr-FR"/>
        </w:rPr>
        <w:t>ou si la maladie professionnelle revendiquée n’était pas démontrée, inviter l’expert à déposer un premier rapport préliminaire et en cas d’accord des parties avec ses conclusions provisoires, cesser ses travaux.</w:t>
      </w:r>
    </w:p>
    <w:p w14:paraId="73D75922" w14:textId="77777777" w:rsidR="008750DB" w:rsidRDefault="008750DB" w:rsidP="008750DB">
      <w:pPr>
        <w:pStyle w:val="Paragraphedeliste"/>
        <w:rPr>
          <w:rFonts w:cs="Times New Roman"/>
          <w:b/>
          <w:bCs/>
          <w:lang w:val="fr-FR"/>
        </w:rPr>
      </w:pPr>
    </w:p>
    <w:p w14:paraId="27837054" w14:textId="77777777" w:rsidR="00302E61" w:rsidRPr="00476165" w:rsidRDefault="008750DB" w:rsidP="003367F0">
      <w:pPr>
        <w:numPr>
          <w:ilvl w:val="0"/>
          <w:numId w:val="11"/>
        </w:numPr>
        <w:tabs>
          <w:tab w:val="clear" w:pos="720"/>
          <w:tab w:val="left" w:pos="-1440"/>
          <w:tab w:val="num" w:pos="360"/>
        </w:tabs>
        <w:snapToGrid w:val="0"/>
        <w:ind w:left="360"/>
        <w:jc w:val="both"/>
        <w:rPr>
          <w:rFonts w:cs="Times New Roman"/>
          <w:lang w:val="fr-FR"/>
        </w:rPr>
      </w:pPr>
      <w:r>
        <w:rPr>
          <w:rFonts w:cs="Times New Roman"/>
          <w:b/>
          <w:bCs/>
          <w:lang w:val="fr-FR"/>
        </w:rPr>
        <w:t xml:space="preserve">Dans </w:t>
      </w:r>
      <w:r w:rsidR="00302E61" w:rsidRPr="00476165">
        <w:rPr>
          <w:rFonts w:cs="Times New Roman"/>
          <w:b/>
          <w:bCs/>
          <w:lang w:val="fr-FR"/>
        </w:rPr>
        <w:t>l’affirmative, dire si cette maladie</w:t>
      </w:r>
      <w:r w:rsidR="00302E61">
        <w:rPr>
          <w:rFonts w:cs="Times New Roman"/>
          <w:b/>
          <w:bCs/>
          <w:lang w:val="fr-FR"/>
        </w:rPr>
        <w:t xml:space="preserve"> </w:t>
      </w:r>
      <w:r w:rsidR="00302E61" w:rsidRPr="00476165">
        <w:rPr>
          <w:rFonts w:cs="Times New Roman"/>
          <w:b/>
          <w:bCs/>
          <w:lang w:val="fr-FR"/>
        </w:rPr>
        <w:t>trouve sa cause directe et déterminante dans l'exercice de la profession</w:t>
      </w:r>
      <w:r w:rsidR="00302E61" w:rsidRPr="00476165">
        <w:rPr>
          <w:rFonts w:cs="Times New Roman"/>
          <w:lang w:val="fr-FR"/>
        </w:rPr>
        <w:t> </w:t>
      </w:r>
      <w:r w:rsidR="00302E61" w:rsidRPr="00476165">
        <w:rPr>
          <w:rFonts w:cs="Times New Roman"/>
          <w:i/>
          <w:iCs/>
          <w:lang w:val="fr-FR"/>
        </w:rPr>
        <w:t>étant entendu que le lien de causalité prévu par l'article 30bis entre l'exercice de la profession et la maladie, ne requiert pas que l'exercice de la profession soit la cause exclusive de la maladie; que cet article n'exclut pas une prédisposition, ni n'impose que l'ayant droit doive établir l'importance de l'influence exercée par la prédisposition</w:t>
      </w:r>
      <w:r w:rsidR="00302E61" w:rsidRPr="00476165">
        <w:rPr>
          <w:rFonts w:cs="Times New Roman"/>
          <w:iCs/>
          <w:lang w:val="fr-FR"/>
        </w:rPr>
        <w:t xml:space="preserve">.  </w:t>
      </w:r>
      <w:r>
        <w:rPr>
          <w:rFonts w:cs="Times New Roman"/>
          <w:iCs/>
          <w:lang w:val="fr-FR"/>
        </w:rPr>
        <w:t xml:space="preserve">Ainsi, </w:t>
      </w:r>
      <w:r w:rsidR="00302E61" w:rsidRPr="00476165">
        <w:rPr>
          <w:rFonts w:cs="Times New Roman"/>
          <w:iCs/>
          <w:lang w:val="fr-FR"/>
        </w:rPr>
        <w:t>l’expert est invité à tenir compte</w:t>
      </w:r>
      <w:r w:rsidR="00302E61" w:rsidRPr="00476165">
        <w:rPr>
          <w:rFonts w:cs="Times New Roman"/>
          <w:i/>
          <w:iCs/>
          <w:lang w:val="fr-FR"/>
        </w:rPr>
        <w:t> </w:t>
      </w:r>
      <w:r w:rsidR="00302E61" w:rsidRPr="00476165">
        <w:rPr>
          <w:rFonts w:cs="Times New Roman"/>
          <w:lang w:val="fr-FR"/>
        </w:rPr>
        <w:t>de tout facteur autre que professionnel tel que l’âge, la pratique d’un sport, les antécédents pathologiques ou traumatiques, le suivi d’un traitement médicamenteux, les éventuels effets secondaires,</w:t>
      </w:r>
      <w:r w:rsidR="00302E61">
        <w:rPr>
          <w:rFonts w:cs="Times New Roman"/>
          <w:lang w:val="fr-FR"/>
        </w:rPr>
        <w:t xml:space="preserve"> </w:t>
      </w:r>
      <w:r w:rsidR="00302E61" w:rsidRPr="00476165">
        <w:rPr>
          <w:rFonts w:cs="Times New Roman"/>
          <w:lang w:val="fr-FR"/>
        </w:rPr>
        <w:t>...</w:t>
      </w:r>
    </w:p>
    <w:p w14:paraId="78790D78" w14:textId="77777777" w:rsidR="00302E61" w:rsidRDefault="00302E61" w:rsidP="003367F0">
      <w:pPr>
        <w:tabs>
          <w:tab w:val="left" w:pos="-1440"/>
        </w:tabs>
        <w:snapToGrid w:val="0"/>
        <w:jc w:val="both"/>
        <w:rPr>
          <w:rFonts w:cs="Times New Roman"/>
          <w:lang w:val="fr-FR"/>
        </w:rPr>
      </w:pPr>
    </w:p>
    <w:p w14:paraId="5706B552" w14:textId="77777777" w:rsidR="007A1FD3" w:rsidRDefault="007A1FD3" w:rsidP="003367F0">
      <w:pPr>
        <w:tabs>
          <w:tab w:val="left" w:pos="-1440"/>
        </w:tabs>
        <w:snapToGrid w:val="0"/>
        <w:jc w:val="both"/>
        <w:rPr>
          <w:rFonts w:cs="Times New Roman"/>
          <w:lang w:val="fr-FR"/>
        </w:rPr>
      </w:pPr>
    </w:p>
    <w:p w14:paraId="3766E707" w14:textId="77777777" w:rsidR="007A1FD3" w:rsidRDefault="007A1FD3" w:rsidP="007A1FD3">
      <w:pPr>
        <w:pStyle w:val="Paragraphedeliste"/>
        <w:numPr>
          <w:ilvl w:val="0"/>
          <w:numId w:val="28"/>
        </w:numPr>
        <w:tabs>
          <w:tab w:val="left" w:pos="-1440"/>
        </w:tabs>
        <w:snapToGrid w:val="0"/>
        <w:jc w:val="both"/>
        <w:rPr>
          <w:rFonts w:cs="Times New Roman"/>
          <w:b/>
          <w:lang w:val="fr-FR"/>
        </w:rPr>
      </w:pPr>
      <w:r>
        <w:rPr>
          <w:rFonts w:cs="Times New Roman"/>
          <w:b/>
          <w:lang w:val="fr-FR"/>
        </w:rPr>
        <w:t>La maladie reprise sous le code 1.606.22.</w:t>
      </w:r>
    </w:p>
    <w:p w14:paraId="01B9C207" w14:textId="77777777" w:rsidR="007A1FD3" w:rsidRDefault="007A1FD3" w:rsidP="007A1FD3">
      <w:pPr>
        <w:tabs>
          <w:tab w:val="left" w:pos="-1440"/>
        </w:tabs>
        <w:snapToGrid w:val="0"/>
        <w:jc w:val="both"/>
        <w:rPr>
          <w:rFonts w:cs="Times New Roman"/>
          <w:b/>
          <w:lang w:val="fr-FR"/>
        </w:rPr>
      </w:pPr>
    </w:p>
    <w:p w14:paraId="4E5528C9" w14:textId="77777777" w:rsidR="00007B70" w:rsidRPr="00060944" w:rsidRDefault="00007B70" w:rsidP="00007B70">
      <w:pPr>
        <w:tabs>
          <w:tab w:val="left" w:pos="-1440"/>
        </w:tabs>
        <w:snapToGrid w:val="0"/>
        <w:jc w:val="both"/>
        <w:rPr>
          <w:rFonts w:cs="Times New Roman"/>
        </w:rPr>
      </w:pPr>
    </w:p>
    <w:p w14:paraId="340A813D" w14:textId="77777777" w:rsidR="00007B70" w:rsidRPr="00007B70" w:rsidRDefault="00007B70" w:rsidP="00007B70">
      <w:pPr>
        <w:pStyle w:val="Paragraphedeliste"/>
        <w:numPr>
          <w:ilvl w:val="0"/>
          <w:numId w:val="32"/>
        </w:numPr>
        <w:tabs>
          <w:tab w:val="left" w:pos="-1440"/>
        </w:tabs>
        <w:snapToGrid w:val="0"/>
        <w:jc w:val="both"/>
        <w:rPr>
          <w:rFonts w:cs="Times New Roman"/>
          <w:bCs/>
        </w:rPr>
      </w:pPr>
      <w:r w:rsidRPr="00007B70">
        <w:rPr>
          <w:rFonts w:cs="Times New Roman"/>
          <w:bCs/>
        </w:rPr>
        <w:t>décrire les affections dont se plaint la partie demanderesse et dire si celles-ci rentrent dans la définition reprise sous le code précité (code 1.606.22).</w:t>
      </w:r>
    </w:p>
    <w:p w14:paraId="120CBFF4" w14:textId="77777777" w:rsidR="00007B70" w:rsidRDefault="00007B70" w:rsidP="00007B70">
      <w:pPr>
        <w:tabs>
          <w:tab w:val="left" w:pos="-1440"/>
        </w:tabs>
        <w:snapToGrid w:val="0"/>
        <w:ind w:left="720"/>
        <w:jc w:val="both"/>
        <w:rPr>
          <w:rFonts w:cs="Times New Roman"/>
          <w:bCs/>
        </w:rPr>
      </w:pPr>
    </w:p>
    <w:p w14:paraId="0E2CAF5D" w14:textId="77777777" w:rsidR="00007B70" w:rsidRPr="00A33B30" w:rsidRDefault="00007B70" w:rsidP="00007B70">
      <w:pPr>
        <w:pStyle w:val="Paragraphedeliste"/>
        <w:numPr>
          <w:ilvl w:val="0"/>
          <w:numId w:val="32"/>
        </w:numPr>
        <w:tabs>
          <w:tab w:val="left" w:pos="-1440"/>
        </w:tabs>
        <w:snapToGrid w:val="0"/>
        <w:jc w:val="both"/>
        <w:textAlignment w:val="auto"/>
        <w:rPr>
          <w:rFonts w:cs="Times New Roman"/>
          <w:bCs/>
        </w:rPr>
      </w:pPr>
      <w:r w:rsidRPr="004F1254">
        <w:rPr>
          <w:rFonts w:cs="Times New Roman"/>
          <w:bCs/>
        </w:rPr>
        <w:t xml:space="preserve">Dire </w:t>
      </w:r>
      <w:r w:rsidRPr="004F1254">
        <w:rPr>
          <w:rFonts w:cs="Times New Roman"/>
          <w:b/>
          <w:bCs/>
        </w:rPr>
        <w:t>si la partie demanderesse a été exposée au risque de la maladie professionnelle en cause</w:t>
      </w:r>
      <w:r w:rsidRPr="004F1254">
        <w:rPr>
          <w:rFonts w:cs="Times New Roman"/>
          <w:bCs/>
        </w:rPr>
        <w:t xml:space="preserve">, </w:t>
      </w:r>
      <w:r w:rsidRPr="004F1254">
        <w:rPr>
          <w:rFonts w:cs="Times New Roman"/>
          <w:b/>
          <w:bCs/>
        </w:rPr>
        <w:t>compte tenu des exigences spécifiques de la maladie litigieuse.</w:t>
      </w:r>
    </w:p>
    <w:p w14:paraId="63502D58" w14:textId="77777777" w:rsidR="00007B70" w:rsidRPr="00A33B30" w:rsidRDefault="00007B70" w:rsidP="00007B70">
      <w:pPr>
        <w:pStyle w:val="Paragraphedeliste"/>
        <w:rPr>
          <w:rFonts w:cs="Times New Roman"/>
          <w:bCs/>
        </w:rPr>
      </w:pPr>
    </w:p>
    <w:p w14:paraId="15E86968" w14:textId="77777777" w:rsidR="00B76F2F" w:rsidRPr="00B76F2F" w:rsidRDefault="00B76F2F" w:rsidP="00B76F2F">
      <w:pPr>
        <w:pStyle w:val="Paragraphedeliste"/>
        <w:numPr>
          <w:ilvl w:val="0"/>
          <w:numId w:val="32"/>
        </w:numPr>
        <w:tabs>
          <w:tab w:val="left" w:pos="-1440"/>
        </w:tabs>
        <w:snapToGrid w:val="0"/>
        <w:jc w:val="both"/>
        <w:rPr>
          <w:rFonts w:cs="Times New Roman"/>
          <w:lang w:val="fr-FR"/>
        </w:rPr>
      </w:pPr>
      <w:r w:rsidRPr="00B76F2F">
        <w:rPr>
          <w:rFonts w:cs="Times New Roman"/>
          <w:bCs/>
          <w:lang w:val="fr-FR"/>
        </w:rPr>
        <w:t>Dans la négative, si l’exposition au risque professionnel n’était pas établie et/ou si la maladie professionnelle revendiquée n’était pas démontrée, inviter l’expert à déposer un premier rapport préliminaire et en cas d’accord des parties avec ses conclusions provisoires, cesser ses travaux.</w:t>
      </w:r>
    </w:p>
    <w:p w14:paraId="1020657E" w14:textId="77777777" w:rsidR="00007B70" w:rsidRPr="00060944" w:rsidRDefault="00007B70" w:rsidP="00007B70">
      <w:pPr>
        <w:tabs>
          <w:tab w:val="left" w:pos="-1440"/>
        </w:tabs>
        <w:snapToGrid w:val="0"/>
        <w:jc w:val="both"/>
        <w:rPr>
          <w:rFonts w:cs="Times New Roman"/>
        </w:rPr>
      </w:pPr>
    </w:p>
    <w:p w14:paraId="45E25AC8" w14:textId="77777777" w:rsidR="00007B70" w:rsidRPr="00007B70" w:rsidRDefault="00007B70" w:rsidP="00007B70">
      <w:pPr>
        <w:pStyle w:val="Paragraphedeliste"/>
        <w:rPr>
          <w:rFonts w:cs="Times New Roman"/>
          <w:b/>
          <w:lang w:val="fr-FR"/>
        </w:rPr>
      </w:pPr>
    </w:p>
    <w:p w14:paraId="17C1737D" w14:textId="77777777" w:rsidR="007A1FD3" w:rsidRPr="007A1FD3" w:rsidRDefault="007A1FD3" w:rsidP="00007B70">
      <w:pPr>
        <w:pStyle w:val="Paragraphedeliste"/>
        <w:numPr>
          <w:ilvl w:val="0"/>
          <w:numId w:val="28"/>
        </w:numPr>
        <w:tabs>
          <w:tab w:val="left" w:pos="-1440"/>
        </w:tabs>
        <w:snapToGrid w:val="0"/>
        <w:jc w:val="both"/>
        <w:rPr>
          <w:rFonts w:cs="Times New Roman"/>
          <w:b/>
          <w:lang w:val="fr-FR"/>
        </w:rPr>
      </w:pPr>
      <w:r>
        <w:rPr>
          <w:rFonts w:cs="Times New Roman"/>
          <w:b/>
          <w:lang w:val="fr-FR"/>
        </w:rPr>
        <w:t>Pour les deux maladies revendiquées.</w:t>
      </w:r>
    </w:p>
    <w:p w14:paraId="73784B2A" w14:textId="77777777" w:rsidR="007A1FD3" w:rsidRPr="00476165" w:rsidRDefault="007A1FD3" w:rsidP="005872F4">
      <w:pPr>
        <w:tabs>
          <w:tab w:val="left" w:pos="-1440"/>
        </w:tabs>
        <w:snapToGrid w:val="0"/>
        <w:jc w:val="both"/>
        <w:rPr>
          <w:rFonts w:cs="Times New Roman"/>
          <w:lang w:val="fr-FR"/>
        </w:rPr>
      </w:pPr>
    </w:p>
    <w:p w14:paraId="68E87268" w14:textId="77777777" w:rsidR="00302E61" w:rsidRPr="005872F4" w:rsidRDefault="005872F4" w:rsidP="005872F4">
      <w:pPr>
        <w:pStyle w:val="Paragraphedeliste"/>
        <w:numPr>
          <w:ilvl w:val="0"/>
          <w:numId w:val="30"/>
        </w:numPr>
        <w:tabs>
          <w:tab w:val="left" w:pos="-1440"/>
        </w:tabs>
        <w:snapToGrid w:val="0"/>
        <w:jc w:val="both"/>
        <w:rPr>
          <w:rFonts w:cs="Times New Roman"/>
          <w:lang w:val="fr-FR"/>
        </w:rPr>
      </w:pPr>
      <w:r w:rsidRPr="005872F4">
        <w:rPr>
          <w:rFonts w:cs="Times New Roman"/>
          <w:lang w:val="fr-FR"/>
        </w:rPr>
        <w:t>En cas de réponse affirmative à toutes ces questions, p</w:t>
      </w:r>
      <w:r w:rsidR="00302E61" w:rsidRPr="005872F4">
        <w:rPr>
          <w:rFonts w:cs="Times New Roman"/>
          <w:lang w:val="fr-FR"/>
        </w:rPr>
        <w:t xml:space="preserve">réciser </w:t>
      </w:r>
      <w:r w:rsidR="00302E61" w:rsidRPr="005872F4">
        <w:rPr>
          <w:rFonts w:cs="Times New Roman"/>
          <w:u w:val="single"/>
          <w:lang w:val="fr-FR"/>
        </w:rPr>
        <w:t>depuis quelle date</w:t>
      </w:r>
      <w:r w:rsidR="00302E61" w:rsidRPr="005872F4">
        <w:rPr>
          <w:rFonts w:cs="Times New Roman"/>
          <w:lang w:val="fr-FR"/>
        </w:rPr>
        <w:t xml:space="preserve"> et dans quelle mesure la partie demanderesse est atteinte d'une incapacité de travail qui serait la conséquence de cette maladie ;</w:t>
      </w:r>
    </w:p>
    <w:p w14:paraId="3879EC34" w14:textId="77777777" w:rsidR="00302E61" w:rsidRPr="00476165" w:rsidRDefault="00302E61" w:rsidP="003367F0">
      <w:pPr>
        <w:tabs>
          <w:tab w:val="left" w:pos="-1440"/>
        </w:tabs>
        <w:snapToGrid w:val="0"/>
        <w:jc w:val="both"/>
        <w:rPr>
          <w:rFonts w:cs="Times New Roman"/>
          <w:lang w:val="fr-FR"/>
        </w:rPr>
      </w:pPr>
    </w:p>
    <w:p w14:paraId="38675A5D" w14:textId="77777777" w:rsidR="00302E61" w:rsidRPr="007A1FD3" w:rsidRDefault="00302E61" w:rsidP="007A1FD3">
      <w:pPr>
        <w:pStyle w:val="Paragraphedeliste"/>
        <w:numPr>
          <w:ilvl w:val="0"/>
          <w:numId w:val="30"/>
        </w:numPr>
        <w:tabs>
          <w:tab w:val="left" w:pos="-1440"/>
        </w:tabs>
        <w:snapToGrid w:val="0"/>
        <w:jc w:val="both"/>
        <w:rPr>
          <w:rFonts w:cs="Times New Roman"/>
          <w:b/>
          <w:bCs/>
          <w:lang w:val="fr-FR"/>
        </w:rPr>
      </w:pPr>
      <w:r w:rsidRPr="007A1FD3">
        <w:rPr>
          <w:rFonts w:cs="Times New Roman"/>
          <w:lang w:val="fr-FR"/>
        </w:rPr>
        <w:t>Déterminer du point de vue médical: le taux d'incapacité permanente purement physique dont la partie demanderesse serait atteinte depuis cette date en raison de la maladie professionnelle visée ci-dessus ; le tout sans préjudice de l'application des facteurs économiques et sociaux et en prenant en considération le fait qu'il importe peu que la maladie ne soit pas la seule cause du dommage, de l'incapacité et qu’il suffit que sans elle, le dommage n'eût pas existé ou n'eût pas été aussi grave ;</w:t>
      </w:r>
    </w:p>
    <w:p w14:paraId="70026298" w14:textId="77777777" w:rsidR="00302E61" w:rsidRDefault="00302E61" w:rsidP="003367F0">
      <w:pPr>
        <w:pStyle w:val="Paragraphedeliste"/>
        <w:ind w:left="360"/>
        <w:rPr>
          <w:rFonts w:cs="Times New Roman"/>
          <w:b/>
        </w:rPr>
      </w:pPr>
    </w:p>
    <w:p w14:paraId="268D65FE" w14:textId="77777777" w:rsidR="00302E61" w:rsidRPr="00150AF4" w:rsidRDefault="00302E61" w:rsidP="007A1FD3">
      <w:pPr>
        <w:numPr>
          <w:ilvl w:val="0"/>
          <w:numId w:val="30"/>
        </w:numPr>
        <w:tabs>
          <w:tab w:val="left" w:pos="-1440"/>
        </w:tabs>
        <w:snapToGrid w:val="0"/>
        <w:jc w:val="both"/>
        <w:rPr>
          <w:rFonts w:cs="Times New Roman"/>
          <w:b/>
        </w:rPr>
      </w:pPr>
      <w:r>
        <w:rPr>
          <w:rFonts w:cs="Times New Roman"/>
        </w:rPr>
        <w:t>de préciser les traitements médicaux, pharmaceutiques et autres nécessités suite à l’apparition de la maladie professionnelle;</w:t>
      </w:r>
    </w:p>
    <w:p w14:paraId="198E9605" w14:textId="77777777" w:rsidR="00302E61" w:rsidRPr="00476165" w:rsidRDefault="00302E61" w:rsidP="003367F0">
      <w:pPr>
        <w:tabs>
          <w:tab w:val="left" w:pos="-1440"/>
        </w:tabs>
        <w:snapToGrid w:val="0"/>
        <w:jc w:val="both"/>
        <w:rPr>
          <w:rFonts w:cs="Times New Roman"/>
          <w:bCs/>
        </w:rPr>
      </w:pPr>
    </w:p>
    <w:p w14:paraId="0E1E0201" w14:textId="77777777" w:rsidR="00302E61" w:rsidRPr="00476165" w:rsidRDefault="00302E61" w:rsidP="007A1FD3">
      <w:pPr>
        <w:numPr>
          <w:ilvl w:val="0"/>
          <w:numId w:val="30"/>
        </w:numPr>
        <w:tabs>
          <w:tab w:val="left" w:pos="-1440"/>
        </w:tabs>
        <w:snapToGrid w:val="0"/>
        <w:jc w:val="both"/>
        <w:rPr>
          <w:rFonts w:cs="Times New Roman"/>
          <w:bCs/>
        </w:rPr>
      </w:pPr>
      <w:r w:rsidRPr="00476165">
        <w:rPr>
          <w:rFonts w:cs="Times New Roman"/>
          <w:bCs/>
        </w:rPr>
        <w:t xml:space="preserve">à la fin de ses travaux, d’envoyer pour lecture au tribunal, aux parties et à leurs conseils, ses constatations auxquelles il joint déjà un avis provisoire et en fixant un délai raisonnable, compte tenu de la nature du litige, mais d’au moins quinze jours, dans lequel les parties doivent formuler leurs observations. </w:t>
      </w:r>
    </w:p>
    <w:p w14:paraId="303F9F14" w14:textId="77777777" w:rsidR="00302E61" w:rsidRPr="00476165" w:rsidRDefault="00302E61" w:rsidP="00302E61">
      <w:pPr>
        <w:tabs>
          <w:tab w:val="left" w:pos="-1440"/>
        </w:tabs>
        <w:snapToGrid w:val="0"/>
        <w:jc w:val="both"/>
        <w:rPr>
          <w:rFonts w:cs="Times New Roman"/>
          <w:lang w:val="fr-FR"/>
        </w:rPr>
      </w:pPr>
    </w:p>
    <w:p w14:paraId="13C69D62" w14:textId="77777777" w:rsidR="00302E61" w:rsidRPr="00476165" w:rsidRDefault="00302E61" w:rsidP="00302E61">
      <w:pPr>
        <w:tabs>
          <w:tab w:val="left" w:pos="-1440"/>
        </w:tabs>
        <w:snapToGrid w:val="0"/>
        <w:jc w:val="both"/>
        <w:rPr>
          <w:rFonts w:cs="Times New Roman"/>
          <w:lang w:val="fr-FR"/>
        </w:rPr>
      </w:pPr>
      <w:r w:rsidRPr="00476165">
        <w:rPr>
          <w:rFonts w:cs="Times New Roman"/>
          <w:b/>
          <w:bCs/>
          <w:lang w:val="fr-FR"/>
        </w:rPr>
        <w:t>INVITE</w:t>
      </w:r>
      <w:r w:rsidRPr="00476165">
        <w:rPr>
          <w:rFonts w:cs="Times New Roman"/>
          <w:lang w:val="fr-FR"/>
        </w:rPr>
        <w:t xml:space="preserve"> l’expert, conformément à l’article 972 § 1</w:t>
      </w:r>
      <w:r w:rsidRPr="00476165">
        <w:rPr>
          <w:rFonts w:cs="Times New Roman"/>
          <w:vertAlign w:val="superscript"/>
          <w:lang w:val="fr-FR"/>
        </w:rPr>
        <w:t>er</w:t>
      </w:r>
      <w:r w:rsidRPr="00476165">
        <w:rPr>
          <w:rFonts w:cs="Times New Roman"/>
          <w:lang w:val="fr-FR"/>
        </w:rPr>
        <w:t xml:space="preserve"> al.3</w:t>
      </w:r>
      <w:r w:rsidR="00BD5918">
        <w:rPr>
          <w:rFonts w:cs="Times New Roman"/>
          <w:lang w:val="fr-FR"/>
        </w:rPr>
        <w:t xml:space="preserve"> </w:t>
      </w:r>
      <w:r w:rsidR="00BD5918" w:rsidRPr="00476165">
        <w:rPr>
          <w:rFonts w:cs="Times New Roman"/>
          <w:bCs/>
          <w:lang w:val="fr-FR"/>
        </w:rPr>
        <w:t>du Code judiciaire</w:t>
      </w:r>
      <w:r w:rsidRPr="00476165">
        <w:rPr>
          <w:rFonts w:cs="Times New Roman"/>
          <w:lang w:val="fr-FR"/>
        </w:rPr>
        <w:t xml:space="preserve">, à communiquer dans les </w:t>
      </w:r>
      <w:r w:rsidRPr="00476165">
        <w:rPr>
          <w:rFonts w:cs="Times New Roman"/>
          <w:b/>
          <w:bCs/>
          <w:lang w:val="fr-FR"/>
        </w:rPr>
        <w:t>8 jours</w:t>
      </w:r>
      <w:r w:rsidRPr="00476165">
        <w:rPr>
          <w:rFonts w:cs="Times New Roman"/>
          <w:lang w:val="fr-FR"/>
        </w:rPr>
        <w:t xml:space="preserve"> de la notification du présent jugement, éventuellement, s’il refuse sa désignation, ce, par décision motivée. L’expert en avise les parties qui ont fait défaut par lettre recommandée à la poste et les parties qui ont comparu, leurs conseils ainsi que le juge par lettre missive ou par courrier électronique. Dans ce cas, les parties communiquent dans les huit jours par simple lettre leurs observations éventuelles au juge qui désigne ensuite un nouvel expert. Cette décision est notifiée conformément à l’article 973, §2, alinéa 5</w:t>
      </w:r>
      <w:r w:rsidR="00BD5918">
        <w:rPr>
          <w:rFonts w:cs="Times New Roman"/>
          <w:lang w:val="fr-FR"/>
        </w:rPr>
        <w:t xml:space="preserve"> </w:t>
      </w:r>
      <w:r w:rsidR="00BD5918" w:rsidRPr="00476165">
        <w:rPr>
          <w:rFonts w:cs="Times New Roman"/>
          <w:bCs/>
          <w:lang w:val="fr-FR"/>
        </w:rPr>
        <w:t>du Code judiciaire</w:t>
      </w:r>
      <w:r w:rsidR="00BD5918" w:rsidRPr="00476165">
        <w:rPr>
          <w:rFonts w:cs="Times New Roman"/>
          <w:lang w:val="fr-FR"/>
        </w:rPr>
        <w:t> </w:t>
      </w:r>
      <w:r w:rsidRPr="00476165">
        <w:rPr>
          <w:rFonts w:cs="Times New Roman"/>
          <w:lang w:val="fr-FR"/>
        </w:rPr>
        <w:t>;</w:t>
      </w:r>
    </w:p>
    <w:p w14:paraId="45906748" w14:textId="77777777" w:rsidR="00302E61" w:rsidRPr="00476165" w:rsidRDefault="00302E61" w:rsidP="00302E61">
      <w:pPr>
        <w:tabs>
          <w:tab w:val="left" w:pos="-1440"/>
        </w:tabs>
        <w:snapToGrid w:val="0"/>
        <w:jc w:val="both"/>
        <w:rPr>
          <w:rFonts w:cs="Times New Roman"/>
          <w:bCs/>
          <w:lang w:val="fr-FR"/>
        </w:rPr>
      </w:pPr>
    </w:p>
    <w:p w14:paraId="4FD71537" w14:textId="77777777" w:rsidR="00302E61" w:rsidRDefault="00302E61" w:rsidP="00302E61">
      <w:pPr>
        <w:tabs>
          <w:tab w:val="left" w:pos="-1440"/>
        </w:tabs>
        <w:snapToGrid w:val="0"/>
        <w:jc w:val="both"/>
        <w:rPr>
          <w:rFonts w:cs="Times New Roman"/>
          <w:lang w:val="fr-FR"/>
        </w:rPr>
      </w:pPr>
      <w:r w:rsidRPr="00476165">
        <w:rPr>
          <w:rFonts w:cs="Times New Roman"/>
          <w:b/>
          <w:bCs/>
          <w:lang w:val="fr-FR"/>
        </w:rPr>
        <w:t>AUTORISE</w:t>
      </w:r>
      <w:r w:rsidRPr="00476165">
        <w:rPr>
          <w:rFonts w:cs="Times New Roman"/>
          <w:lang w:val="fr-FR"/>
        </w:rPr>
        <w:t xml:space="preserve"> l'expert, s'il le juge utile, à recourir à l'avis de conseillers techniques ou de médecins spécialistes ;</w:t>
      </w:r>
    </w:p>
    <w:p w14:paraId="0955B394" w14:textId="77777777" w:rsidR="003367F0" w:rsidRPr="00476165" w:rsidRDefault="003367F0" w:rsidP="00302E61">
      <w:pPr>
        <w:tabs>
          <w:tab w:val="left" w:pos="-1440"/>
        </w:tabs>
        <w:snapToGrid w:val="0"/>
        <w:jc w:val="both"/>
        <w:rPr>
          <w:rFonts w:cs="Times New Roman"/>
          <w:lang w:val="fr-FR"/>
        </w:rPr>
      </w:pPr>
    </w:p>
    <w:p w14:paraId="37D6EB04" w14:textId="77777777" w:rsidR="00302E61" w:rsidRPr="00476165" w:rsidRDefault="00302E61" w:rsidP="00302E61">
      <w:pPr>
        <w:tabs>
          <w:tab w:val="left" w:pos="-1440"/>
        </w:tabs>
        <w:snapToGrid w:val="0"/>
        <w:jc w:val="both"/>
        <w:rPr>
          <w:rFonts w:cs="Times New Roman"/>
          <w:b/>
          <w:lang w:val="fr-FR"/>
        </w:rPr>
      </w:pPr>
      <w:r w:rsidRPr="00476165">
        <w:rPr>
          <w:rFonts w:cs="Times New Roman"/>
          <w:b/>
          <w:lang w:val="fr-FR"/>
        </w:rPr>
        <w:t>Le tribunal n’estime pas nécessaire de fixer une réunion d’installation comme le permet l’article 972 du Code judiciaire ;</w:t>
      </w:r>
    </w:p>
    <w:p w14:paraId="4B02BF69" w14:textId="77777777" w:rsidR="00694ED6" w:rsidRPr="00476165" w:rsidRDefault="00694ED6" w:rsidP="00302E61">
      <w:pPr>
        <w:tabs>
          <w:tab w:val="left" w:pos="-1440"/>
        </w:tabs>
        <w:snapToGrid w:val="0"/>
        <w:jc w:val="both"/>
        <w:rPr>
          <w:rFonts w:cs="Times New Roman"/>
          <w:b/>
          <w:lang w:val="fr-FR"/>
        </w:rPr>
      </w:pPr>
    </w:p>
    <w:p w14:paraId="4375F982" w14:textId="77777777" w:rsidR="00302E61" w:rsidRPr="00476165" w:rsidRDefault="00302E61" w:rsidP="00302E61">
      <w:pPr>
        <w:tabs>
          <w:tab w:val="left" w:pos="-1440"/>
        </w:tabs>
        <w:snapToGrid w:val="0"/>
        <w:jc w:val="both"/>
        <w:rPr>
          <w:rFonts w:cs="Times New Roman"/>
          <w:b/>
          <w:lang w:val="fr-FR"/>
        </w:rPr>
      </w:pPr>
      <w:r w:rsidRPr="00476165">
        <w:rPr>
          <w:rFonts w:cs="Times New Roman"/>
          <w:b/>
          <w:lang w:val="fr-FR"/>
        </w:rPr>
        <w:t>Le tribunal précisant encore que :</w:t>
      </w:r>
    </w:p>
    <w:p w14:paraId="1FF1CC51" w14:textId="77777777" w:rsidR="00302E61" w:rsidRPr="00476165" w:rsidRDefault="00302E61" w:rsidP="00302E61">
      <w:pPr>
        <w:tabs>
          <w:tab w:val="left" w:pos="-1440"/>
        </w:tabs>
        <w:snapToGrid w:val="0"/>
        <w:jc w:val="both"/>
        <w:rPr>
          <w:rFonts w:cs="Times New Roman"/>
          <w:b/>
          <w:lang w:val="fr-FR"/>
        </w:rPr>
      </w:pPr>
    </w:p>
    <w:p w14:paraId="1A37FBF8" w14:textId="77777777" w:rsidR="00302E61" w:rsidRDefault="00302E61" w:rsidP="00302E61">
      <w:pPr>
        <w:tabs>
          <w:tab w:val="left" w:pos="-1440"/>
        </w:tabs>
        <w:snapToGrid w:val="0"/>
        <w:jc w:val="both"/>
        <w:rPr>
          <w:rFonts w:cs="Times New Roman"/>
          <w:lang w:val="fr-FR"/>
        </w:rPr>
      </w:pPr>
      <w:r w:rsidRPr="00476165">
        <w:rPr>
          <w:rFonts w:cs="Times New Roman"/>
          <w:b/>
          <w:bCs/>
          <w:lang w:val="fr-FR"/>
        </w:rPr>
        <w:t>AUTORISE</w:t>
      </w:r>
      <w:r w:rsidRPr="00476165">
        <w:rPr>
          <w:rFonts w:cs="Times New Roman"/>
          <w:lang w:val="fr-FR"/>
        </w:rPr>
        <w:t xml:space="preserve"> l'expert, s'il le juge utile, à recourir à l'avis de conseillers techniques ou de médecins spécialistes ;</w:t>
      </w:r>
    </w:p>
    <w:p w14:paraId="70CA29F0" w14:textId="77777777" w:rsidR="00EF5EC3" w:rsidRPr="00476165" w:rsidRDefault="00EF5EC3" w:rsidP="00302E61">
      <w:pPr>
        <w:tabs>
          <w:tab w:val="left" w:pos="-1440"/>
        </w:tabs>
        <w:snapToGrid w:val="0"/>
        <w:jc w:val="both"/>
        <w:rPr>
          <w:rFonts w:cs="Times New Roman"/>
          <w:lang w:val="fr-FR"/>
        </w:rPr>
      </w:pPr>
    </w:p>
    <w:p w14:paraId="16B7DC05" w14:textId="77777777" w:rsidR="00302E61" w:rsidRPr="00476165" w:rsidRDefault="00302E61" w:rsidP="00302E61">
      <w:pPr>
        <w:tabs>
          <w:tab w:val="left" w:pos="-1440"/>
        </w:tabs>
        <w:snapToGrid w:val="0"/>
        <w:jc w:val="both"/>
        <w:rPr>
          <w:rFonts w:cs="Times New Roman"/>
          <w:lang w:val="fr-FR"/>
        </w:rPr>
      </w:pPr>
      <w:r w:rsidRPr="00476165">
        <w:rPr>
          <w:rFonts w:cs="Times New Roman"/>
          <w:b/>
          <w:bCs/>
          <w:lang w:val="fr-FR"/>
        </w:rPr>
        <w:t xml:space="preserve">INVITE </w:t>
      </w:r>
      <w:r w:rsidRPr="00476165">
        <w:rPr>
          <w:rFonts w:cs="Times New Roman"/>
          <w:bCs/>
          <w:lang w:val="fr-FR"/>
        </w:rPr>
        <w:t>l’expert à préciser aux parties le tarif horaire qu’il pratique ;</w:t>
      </w:r>
    </w:p>
    <w:p w14:paraId="26805ACC" w14:textId="77777777" w:rsidR="00302E61" w:rsidRPr="00476165" w:rsidRDefault="00302E61" w:rsidP="00302E61">
      <w:pPr>
        <w:tabs>
          <w:tab w:val="left" w:pos="-1440"/>
        </w:tabs>
        <w:snapToGrid w:val="0"/>
        <w:jc w:val="both"/>
        <w:rPr>
          <w:rFonts w:cs="Times New Roman"/>
          <w:lang w:val="fr-FR"/>
        </w:rPr>
      </w:pPr>
    </w:p>
    <w:p w14:paraId="252819AE" w14:textId="77777777" w:rsidR="00302E61" w:rsidRPr="00476165" w:rsidRDefault="00302E61" w:rsidP="00302E61">
      <w:pPr>
        <w:tabs>
          <w:tab w:val="left" w:pos="-1440"/>
        </w:tabs>
        <w:snapToGrid w:val="0"/>
        <w:jc w:val="both"/>
        <w:rPr>
          <w:rFonts w:cs="Times New Roman"/>
          <w:lang w:val="fr-FR"/>
        </w:rPr>
      </w:pPr>
      <w:r w:rsidRPr="00476165">
        <w:rPr>
          <w:rFonts w:cs="Times New Roman"/>
          <w:b/>
          <w:bCs/>
          <w:lang w:val="fr-FR"/>
        </w:rPr>
        <w:t>ESTIME</w:t>
      </w:r>
      <w:r w:rsidRPr="00476165">
        <w:rPr>
          <w:rFonts w:cs="Times New Roman"/>
          <w:lang w:val="fr-FR"/>
        </w:rPr>
        <w:t xml:space="preserve"> le </w:t>
      </w:r>
      <w:r w:rsidRPr="00476165">
        <w:rPr>
          <w:rFonts w:cs="Times New Roman"/>
          <w:u w:val="single"/>
          <w:lang w:val="fr-FR"/>
        </w:rPr>
        <w:t>coût global</w:t>
      </w:r>
      <w:r w:rsidRPr="00476165">
        <w:rPr>
          <w:rFonts w:cs="Times New Roman"/>
          <w:lang w:val="fr-FR"/>
        </w:rPr>
        <w:t xml:space="preserve"> de l’expertise à une somme maximale de </w:t>
      </w:r>
      <w:r w:rsidRPr="00476165">
        <w:rPr>
          <w:rFonts w:cs="Times New Roman"/>
          <w:b/>
          <w:lang w:val="fr-FR"/>
        </w:rPr>
        <w:t>2.</w:t>
      </w:r>
      <w:r w:rsidR="00D50298">
        <w:rPr>
          <w:rFonts w:cs="Times New Roman"/>
          <w:b/>
          <w:lang w:val="fr-FR"/>
        </w:rPr>
        <w:t>5</w:t>
      </w:r>
      <w:r w:rsidRPr="00476165">
        <w:rPr>
          <w:rFonts w:cs="Times New Roman"/>
          <w:b/>
          <w:lang w:val="fr-FR"/>
        </w:rPr>
        <w:t>00 €</w:t>
      </w:r>
      <w:r w:rsidRPr="00476165">
        <w:rPr>
          <w:rFonts w:cs="Times New Roman"/>
          <w:lang w:val="fr-FR"/>
        </w:rPr>
        <w:t xml:space="preserve"> sous réserve d’appréciation complémentaire à apporter par l’expert et justifiée par le recours à des examens spécialisés ou à l’avis de conseillers techniques notamment ;</w:t>
      </w:r>
    </w:p>
    <w:p w14:paraId="0E6DEC53" w14:textId="77777777" w:rsidR="00302E61" w:rsidRPr="00476165" w:rsidRDefault="00302E61" w:rsidP="00302E61">
      <w:pPr>
        <w:tabs>
          <w:tab w:val="left" w:pos="-1440"/>
        </w:tabs>
        <w:snapToGrid w:val="0"/>
        <w:jc w:val="both"/>
        <w:rPr>
          <w:rFonts w:cs="Times New Roman"/>
          <w:lang w:val="fr-FR"/>
        </w:rPr>
      </w:pPr>
    </w:p>
    <w:p w14:paraId="2A0FE3E7" w14:textId="77777777" w:rsidR="00302E61" w:rsidRPr="00476165" w:rsidRDefault="00302E61" w:rsidP="00302E61">
      <w:pPr>
        <w:tabs>
          <w:tab w:val="left" w:pos="-1440"/>
        </w:tabs>
        <w:snapToGrid w:val="0"/>
        <w:jc w:val="both"/>
        <w:rPr>
          <w:rFonts w:cs="Times New Roman"/>
          <w:lang w:val="fr-FR"/>
        </w:rPr>
      </w:pPr>
      <w:r w:rsidRPr="00476165">
        <w:rPr>
          <w:rFonts w:cs="Times New Roman"/>
          <w:b/>
          <w:bCs/>
          <w:lang w:val="fr-FR"/>
        </w:rPr>
        <w:t>FIXE</w:t>
      </w:r>
      <w:r w:rsidRPr="00476165">
        <w:rPr>
          <w:rFonts w:cs="Times New Roman"/>
          <w:lang w:val="fr-FR"/>
        </w:rPr>
        <w:t xml:space="preserve"> à la somme de </w:t>
      </w:r>
      <w:r w:rsidRPr="00476165">
        <w:rPr>
          <w:rFonts w:cs="Times New Roman"/>
          <w:b/>
          <w:bCs/>
          <w:lang w:val="fr-FR"/>
        </w:rPr>
        <w:t>1.</w:t>
      </w:r>
      <w:r w:rsidR="008D5034">
        <w:rPr>
          <w:rFonts w:cs="Times New Roman"/>
          <w:b/>
          <w:bCs/>
          <w:lang w:val="fr-FR"/>
        </w:rPr>
        <w:t>5</w:t>
      </w:r>
      <w:r w:rsidRPr="00476165">
        <w:rPr>
          <w:rFonts w:cs="Times New Roman"/>
          <w:b/>
          <w:bCs/>
          <w:lang w:val="fr-FR"/>
        </w:rPr>
        <w:t>00 €</w:t>
      </w:r>
      <w:r w:rsidRPr="00476165">
        <w:rPr>
          <w:rFonts w:cs="Times New Roman"/>
          <w:lang w:val="fr-FR"/>
        </w:rPr>
        <w:t xml:space="preserve">, le montant de la provision qui sera consignée par </w:t>
      </w:r>
      <w:r w:rsidRPr="00476165">
        <w:rPr>
          <w:rFonts w:cs="Times New Roman"/>
          <w:b/>
          <w:bCs/>
          <w:lang w:val="fr-FR"/>
        </w:rPr>
        <w:t>la partie défenderesse</w:t>
      </w:r>
      <w:r w:rsidRPr="00476165">
        <w:rPr>
          <w:rFonts w:cs="Times New Roman"/>
          <w:lang w:val="fr-FR"/>
        </w:rPr>
        <w:t xml:space="preserve"> sur le compte du greffe du Tribunal du Travail de LIEGE - division VERVIERS, en précisant la référence </w:t>
      </w:r>
      <w:r w:rsidRPr="00476165">
        <w:rPr>
          <w:rFonts w:cs="Times New Roman"/>
          <w:b/>
          <w:bCs/>
          <w:lang w:val="fr-FR"/>
        </w:rPr>
        <w:t xml:space="preserve">R.G. </w:t>
      </w:r>
      <w:r w:rsidR="00B722A9">
        <w:rPr>
          <w:rFonts w:cs="Times New Roman"/>
          <w:b/>
          <w:bCs/>
          <w:lang w:val="fr-FR"/>
        </w:rPr>
        <w:t>21/339/A et 21/340/</w:t>
      </w:r>
      <w:r w:rsidRPr="00476165">
        <w:rPr>
          <w:rFonts w:cs="Times New Roman"/>
          <w:b/>
          <w:bCs/>
          <w:lang w:val="fr-FR"/>
        </w:rPr>
        <w:t xml:space="preserve">A </w:t>
      </w:r>
      <w:r w:rsidRPr="00476165">
        <w:rPr>
          <w:rFonts w:cs="Times New Roman"/>
          <w:lang w:val="fr-FR"/>
        </w:rPr>
        <w:t>;</w:t>
      </w:r>
    </w:p>
    <w:p w14:paraId="3EA6CDCA" w14:textId="77777777" w:rsidR="00302E61" w:rsidRPr="00476165" w:rsidRDefault="00302E61" w:rsidP="00302E61">
      <w:pPr>
        <w:tabs>
          <w:tab w:val="left" w:pos="-1440"/>
        </w:tabs>
        <w:snapToGrid w:val="0"/>
        <w:jc w:val="both"/>
        <w:rPr>
          <w:rFonts w:cs="Times New Roman"/>
          <w:lang w:val="fr-FR"/>
        </w:rPr>
      </w:pPr>
    </w:p>
    <w:p w14:paraId="2031930E" w14:textId="77777777" w:rsidR="00302E61" w:rsidRDefault="00302E61" w:rsidP="00302E61">
      <w:pPr>
        <w:tabs>
          <w:tab w:val="left" w:pos="-1440"/>
        </w:tabs>
        <w:snapToGrid w:val="0"/>
        <w:jc w:val="both"/>
        <w:rPr>
          <w:rFonts w:cs="Times New Roman"/>
          <w:lang w:val="fr-FR"/>
        </w:rPr>
      </w:pPr>
      <w:r w:rsidRPr="00476165">
        <w:rPr>
          <w:rFonts w:cs="Times New Roman"/>
          <w:b/>
          <w:bCs/>
          <w:lang w:val="fr-FR"/>
        </w:rPr>
        <w:t>DIT</w:t>
      </w:r>
      <w:r w:rsidRPr="00476165">
        <w:rPr>
          <w:rFonts w:cs="Times New Roman"/>
          <w:lang w:val="fr-FR"/>
        </w:rPr>
        <w:t xml:space="preserve"> que cette provision est libérable immédiatement en faveur de l’expert, à la première demande ce celui-ci ;</w:t>
      </w:r>
    </w:p>
    <w:p w14:paraId="28E33D4E" w14:textId="77777777" w:rsidR="00302E61" w:rsidRPr="00476165" w:rsidRDefault="00302E61" w:rsidP="00302E61">
      <w:pPr>
        <w:tabs>
          <w:tab w:val="left" w:pos="-1440"/>
        </w:tabs>
        <w:snapToGrid w:val="0"/>
        <w:jc w:val="both"/>
        <w:rPr>
          <w:rFonts w:cs="Times New Roman"/>
          <w:lang w:val="fr-FR"/>
        </w:rPr>
      </w:pPr>
    </w:p>
    <w:p w14:paraId="30B39C2C" w14:textId="77777777" w:rsidR="00302E61" w:rsidRPr="00476165" w:rsidRDefault="00302E61" w:rsidP="00302E61">
      <w:pPr>
        <w:tabs>
          <w:tab w:val="left" w:pos="-1440"/>
        </w:tabs>
        <w:snapToGrid w:val="0"/>
        <w:jc w:val="both"/>
        <w:rPr>
          <w:rFonts w:cs="Times New Roman"/>
          <w:lang w:val="fr-FR"/>
        </w:rPr>
      </w:pPr>
      <w:r w:rsidRPr="00476165">
        <w:rPr>
          <w:rFonts w:cs="Times New Roman"/>
          <w:b/>
          <w:bCs/>
          <w:lang w:val="fr-FR"/>
        </w:rPr>
        <w:t>DIT</w:t>
      </w:r>
      <w:r w:rsidRPr="00476165">
        <w:rPr>
          <w:rFonts w:cs="Times New Roman"/>
          <w:lang w:val="fr-FR"/>
        </w:rPr>
        <w:t xml:space="preserve"> pour droit qu’à défaut d’une contestation de l’état des frais et honoraires de l’expert, </w:t>
      </w:r>
      <w:r w:rsidRPr="00476165">
        <w:rPr>
          <w:rFonts w:cs="Times New Roman"/>
          <w:b/>
          <w:u w:val="single"/>
          <w:lang w:val="fr-FR"/>
        </w:rPr>
        <w:t>détaillé conformément à l’article 990 du Code judiciaire (tarif horaire, frais généraux et les montants payés à des tiers</w:t>
      </w:r>
      <w:r w:rsidRPr="00476165">
        <w:rPr>
          <w:rFonts w:cs="Times New Roman"/>
          <w:b/>
          <w:lang w:val="fr-FR"/>
        </w:rPr>
        <w:t>),</w:t>
      </w:r>
      <w:r w:rsidRPr="00476165">
        <w:rPr>
          <w:rFonts w:cs="Times New Roman"/>
          <w:lang w:val="fr-FR"/>
        </w:rPr>
        <w:t xml:space="preserve"> dans les 30 jours du dépôt de celui-ci au greffe, son état pourra être taxé d’office ;</w:t>
      </w:r>
    </w:p>
    <w:p w14:paraId="757B1EB8" w14:textId="77777777" w:rsidR="00302E61" w:rsidRPr="00476165" w:rsidRDefault="00302E61" w:rsidP="00302E61">
      <w:pPr>
        <w:tabs>
          <w:tab w:val="left" w:pos="-1440"/>
        </w:tabs>
        <w:snapToGrid w:val="0"/>
        <w:jc w:val="both"/>
        <w:rPr>
          <w:rFonts w:cs="Times New Roman"/>
          <w:lang w:val="fr-FR"/>
        </w:rPr>
      </w:pPr>
    </w:p>
    <w:p w14:paraId="0F5677C7" w14:textId="77777777" w:rsidR="00694ED6" w:rsidRPr="00D175F1" w:rsidRDefault="00302E61" w:rsidP="00302E61">
      <w:pPr>
        <w:tabs>
          <w:tab w:val="left" w:pos="-1440"/>
        </w:tabs>
        <w:snapToGrid w:val="0"/>
        <w:jc w:val="both"/>
        <w:rPr>
          <w:rFonts w:cs="Times New Roman"/>
          <w:bCs/>
          <w:lang w:val="fr-FR"/>
        </w:rPr>
      </w:pPr>
      <w:r w:rsidRPr="00476165">
        <w:rPr>
          <w:rFonts w:cs="Times New Roman"/>
          <w:bCs/>
          <w:lang w:val="fr-FR"/>
        </w:rPr>
        <w:t xml:space="preserve">En vue d’accélérer le paiement de l’état d’honoraires et frais de l’Expert commis en l’espèce, cet état pourra faire l’objet d’une taxation d’office par ordonnance distincte prise, le cas échéant, avant la date de l’audience retenue pour les plaidoiries à défaut d’opposition manifestée par correspondance ou par mail  par la partie devant en supporter le coût conformément à l’article 1017, alinéa 2, du Code judiciaire dans un délai d’un mois à compter de la date de dépôt au Greffe de la requête en taxation annexée au rapport d’expertise. </w:t>
      </w:r>
    </w:p>
    <w:p w14:paraId="033DB562" w14:textId="77777777" w:rsidR="00BD5918" w:rsidRDefault="00BD5918" w:rsidP="00302E61">
      <w:pPr>
        <w:tabs>
          <w:tab w:val="left" w:pos="-1440"/>
        </w:tabs>
        <w:snapToGrid w:val="0"/>
        <w:jc w:val="both"/>
        <w:rPr>
          <w:rFonts w:cs="Times New Roman"/>
          <w:b/>
          <w:lang w:val="fr-FR"/>
        </w:rPr>
      </w:pPr>
    </w:p>
    <w:p w14:paraId="71642AE5" w14:textId="77777777" w:rsidR="00302E61" w:rsidRPr="00476165" w:rsidRDefault="00302E61" w:rsidP="00302E61">
      <w:pPr>
        <w:tabs>
          <w:tab w:val="left" w:pos="-1440"/>
        </w:tabs>
        <w:snapToGrid w:val="0"/>
        <w:jc w:val="both"/>
        <w:rPr>
          <w:rFonts w:cs="Times New Roman"/>
          <w:b/>
          <w:lang w:val="fr-FR"/>
        </w:rPr>
      </w:pPr>
      <w:r w:rsidRPr="00476165">
        <w:rPr>
          <w:rFonts w:cs="Times New Roman"/>
          <w:b/>
          <w:lang w:val="fr-FR"/>
        </w:rPr>
        <w:t>Par ailleurs, l’expert devra :</w:t>
      </w:r>
    </w:p>
    <w:p w14:paraId="2ACE792C" w14:textId="77777777" w:rsidR="00302E61" w:rsidRPr="00476165" w:rsidRDefault="00302E61" w:rsidP="00302E61">
      <w:pPr>
        <w:tabs>
          <w:tab w:val="left" w:pos="-1440"/>
        </w:tabs>
        <w:snapToGrid w:val="0"/>
        <w:jc w:val="both"/>
        <w:rPr>
          <w:rFonts w:cs="Times New Roman"/>
          <w:b/>
          <w:lang w:val="fr-FR"/>
        </w:rPr>
      </w:pPr>
    </w:p>
    <w:p w14:paraId="4E0B5FA1" w14:textId="77777777" w:rsidR="00302E61" w:rsidRPr="00476165" w:rsidRDefault="00302E61" w:rsidP="00302E61">
      <w:pPr>
        <w:numPr>
          <w:ilvl w:val="0"/>
          <w:numId w:val="4"/>
        </w:numPr>
        <w:tabs>
          <w:tab w:val="left" w:pos="-1440"/>
        </w:tabs>
        <w:snapToGrid w:val="0"/>
        <w:jc w:val="both"/>
        <w:rPr>
          <w:rFonts w:cs="Times New Roman"/>
          <w:b/>
          <w:lang w:val="fr-FR"/>
        </w:rPr>
      </w:pPr>
      <w:r w:rsidRPr="00476165">
        <w:rPr>
          <w:rFonts w:cs="Times New Roman"/>
          <w:lang w:val="fr-FR"/>
        </w:rPr>
        <w:t xml:space="preserve">en application de l’article 972 du Code judiciaire, communiquer dans les 8 jours de la notification de la mission,  par lettre adressée au  tribunal et aux parties les lieu, jour et heure du début de ses travaux (qui se situera, dans la mesure du possible, dans </w:t>
      </w:r>
      <w:r w:rsidRPr="00476165">
        <w:rPr>
          <w:rFonts w:cs="Times New Roman"/>
          <w:lang w:val="fr-FR"/>
        </w:rPr>
        <w:lastRenderedPageBreak/>
        <w:t>les six semaines de la notification de sa mission) ;</w:t>
      </w:r>
    </w:p>
    <w:p w14:paraId="25608ABE" w14:textId="77777777" w:rsidR="00302E61" w:rsidRPr="00476165" w:rsidRDefault="00302E61" w:rsidP="00302E61">
      <w:pPr>
        <w:tabs>
          <w:tab w:val="left" w:pos="-1440"/>
        </w:tabs>
        <w:snapToGrid w:val="0"/>
        <w:jc w:val="both"/>
        <w:rPr>
          <w:rFonts w:cs="Times New Roman"/>
          <w:b/>
          <w:lang w:val="fr-FR"/>
        </w:rPr>
      </w:pPr>
    </w:p>
    <w:p w14:paraId="03B75A0B"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convoquer les parties et prendre connaissance de leurs déclarations verbales et réquisitions, des pièces médicales et de toutes autres pièces ou renseignements utiles produits par celles-ci ;</w:t>
      </w:r>
    </w:p>
    <w:p w14:paraId="2C060242" w14:textId="77777777" w:rsidR="00302E61" w:rsidRPr="00476165" w:rsidRDefault="00302E61" w:rsidP="00302E61">
      <w:pPr>
        <w:tabs>
          <w:tab w:val="left" w:pos="-1440"/>
        </w:tabs>
        <w:snapToGrid w:val="0"/>
        <w:jc w:val="both"/>
        <w:rPr>
          <w:rFonts w:cs="Times New Roman"/>
          <w:lang w:val="fr-FR"/>
        </w:rPr>
      </w:pPr>
    </w:p>
    <w:p w14:paraId="7D916288"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 xml:space="preserve">informer d'une part, la partie demanderesse qu'elle peut se faire assister à l'expertise par un médecin de son choix et d'autre part, la partie défenderesse qu'elle peut s'y faire représenter par son médecin ;  </w:t>
      </w:r>
    </w:p>
    <w:p w14:paraId="4D7E0353" w14:textId="77777777" w:rsidR="00302E61" w:rsidRPr="00476165" w:rsidRDefault="00302E61" w:rsidP="00302E61">
      <w:pPr>
        <w:tabs>
          <w:tab w:val="left" w:pos="-1440"/>
        </w:tabs>
        <w:snapToGrid w:val="0"/>
        <w:jc w:val="both"/>
        <w:rPr>
          <w:rFonts w:cs="Times New Roman"/>
          <w:lang w:val="fr-FR"/>
        </w:rPr>
      </w:pPr>
    </w:p>
    <w:p w14:paraId="7652742C" w14:textId="77777777" w:rsidR="00302E61" w:rsidRDefault="00302E61" w:rsidP="00302E61">
      <w:pPr>
        <w:numPr>
          <w:ilvl w:val="0"/>
          <w:numId w:val="4"/>
        </w:numPr>
        <w:tabs>
          <w:tab w:val="left" w:pos="-1440"/>
        </w:tabs>
        <w:snapToGrid w:val="0"/>
        <w:jc w:val="both"/>
        <w:rPr>
          <w:rFonts w:cs="Times New Roman"/>
          <w:lang w:val="fr-FR"/>
        </w:rPr>
      </w:pPr>
      <w:r w:rsidRPr="00476165">
        <w:rPr>
          <w:rFonts w:cs="Times New Roman"/>
          <w:lang w:val="fr-FR"/>
        </w:rPr>
        <w:t>lors de la première réunion d’expertise, les parties et l’expert débattront et fixeront les modalités qui n’ont pas été fixées dans le jugement ou en raison de l’absence de réunion d’installation ;</w:t>
      </w:r>
    </w:p>
    <w:p w14:paraId="543FA0D6" w14:textId="77777777" w:rsidR="00EF5EC3" w:rsidRPr="00FC3C26" w:rsidRDefault="00EF5EC3" w:rsidP="00EF23F1">
      <w:pPr>
        <w:tabs>
          <w:tab w:val="left" w:pos="-1440"/>
        </w:tabs>
        <w:snapToGrid w:val="0"/>
        <w:jc w:val="both"/>
        <w:rPr>
          <w:rFonts w:cs="Times New Roman"/>
          <w:lang w:val="fr-FR"/>
        </w:rPr>
      </w:pPr>
    </w:p>
    <w:p w14:paraId="280A1E77" w14:textId="77777777" w:rsidR="00302E61" w:rsidRPr="00476165" w:rsidRDefault="00302E61" w:rsidP="00302E61">
      <w:pPr>
        <w:numPr>
          <w:ilvl w:val="0"/>
          <w:numId w:val="3"/>
        </w:numPr>
        <w:tabs>
          <w:tab w:val="left" w:pos="-1440"/>
        </w:tabs>
        <w:snapToGrid w:val="0"/>
        <w:jc w:val="both"/>
        <w:rPr>
          <w:rFonts w:cs="Times New Roman"/>
          <w:lang w:val="fr-FR"/>
        </w:rPr>
      </w:pPr>
      <w:r w:rsidRPr="00476165">
        <w:rPr>
          <w:rFonts w:cs="Times New Roman"/>
          <w:lang w:val="fr-FR"/>
        </w:rPr>
        <w:t xml:space="preserve">et, après avoir pris connaissance, dans les conditions ordinaires de contradiction, des documents et éléments médicaux lui soumis par les parties, ainsi que de l'opinion des médecins qui ont soigné la partie demanderesse, examiner cette dernière et </w:t>
      </w:r>
      <w:r w:rsidRPr="00476165">
        <w:rPr>
          <w:rFonts w:cs="Times New Roman"/>
          <w:u w:val="single"/>
          <w:lang w:val="fr-FR"/>
        </w:rPr>
        <w:t>faire procéder éventuellement aux examens spécialisés qu'il estime nécessaires, en recourant, le cas échéant à l’avis d’un conseiller technique ou sapiteur spécialisé</w:t>
      </w:r>
      <w:r w:rsidRPr="00476165">
        <w:rPr>
          <w:rFonts w:cs="Times New Roman"/>
          <w:lang w:val="fr-FR"/>
        </w:rPr>
        <w:t xml:space="preserve"> (article 972,§2,</w:t>
      </w:r>
      <w:r w:rsidR="00BD5918">
        <w:rPr>
          <w:rFonts w:cs="Times New Roman"/>
          <w:lang w:val="fr-FR"/>
        </w:rPr>
        <w:t xml:space="preserve"> </w:t>
      </w:r>
      <w:r w:rsidRPr="00476165">
        <w:rPr>
          <w:rFonts w:cs="Times New Roman"/>
          <w:lang w:val="fr-FR"/>
        </w:rPr>
        <w:t xml:space="preserve">alinéa 7, 3° du Code judiciaire) ; </w:t>
      </w:r>
    </w:p>
    <w:p w14:paraId="273F8436" w14:textId="77777777" w:rsidR="00302E61" w:rsidRPr="00476165" w:rsidRDefault="00302E61" w:rsidP="00302E61">
      <w:pPr>
        <w:tabs>
          <w:tab w:val="left" w:pos="-1440"/>
        </w:tabs>
        <w:snapToGrid w:val="0"/>
        <w:jc w:val="both"/>
        <w:rPr>
          <w:rFonts w:cs="Times New Roman"/>
          <w:lang w:val="fr-FR"/>
        </w:rPr>
      </w:pPr>
    </w:p>
    <w:p w14:paraId="4ABFE24F" w14:textId="77777777" w:rsidR="00302E61" w:rsidRPr="00476165" w:rsidRDefault="00302E61" w:rsidP="00302E61">
      <w:pPr>
        <w:numPr>
          <w:ilvl w:val="0"/>
          <w:numId w:val="3"/>
        </w:numPr>
        <w:tabs>
          <w:tab w:val="left" w:pos="-1440"/>
        </w:tabs>
        <w:snapToGrid w:val="0"/>
        <w:jc w:val="both"/>
        <w:rPr>
          <w:rFonts w:cs="Times New Roman"/>
          <w:lang w:val="fr-FR"/>
        </w:rPr>
      </w:pPr>
      <w:r w:rsidRPr="00476165">
        <w:rPr>
          <w:rFonts w:cs="Times New Roman"/>
          <w:lang w:val="fr-FR"/>
        </w:rPr>
        <w:t xml:space="preserve">tenir compte des usages en vigueur dans la profession et </w:t>
      </w:r>
      <w:r w:rsidRPr="00476165">
        <w:rPr>
          <w:rFonts w:cs="Times New Roman"/>
          <w:b/>
          <w:bCs/>
          <w:lang w:val="fr-FR"/>
        </w:rPr>
        <w:t>des règles générales fixées par l’article 991 du Code judiciaire</w:t>
      </w:r>
      <w:r w:rsidRPr="00476165">
        <w:rPr>
          <w:rFonts w:cs="Times New Roman"/>
          <w:lang w:val="fr-FR"/>
        </w:rPr>
        <w:t xml:space="preserve"> quant au  mode de calcul des frais et honoraires de l'expert et des éventuels conseillers techniques, en étant attentif à la </w:t>
      </w:r>
      <w:r w:rsidRPr="00476165">
        <w:rPr>
          <w:rFonts w:cs="Times New Roman"/>
          <w:b/>
          <w:bCs/>
          <w:lang w:val="fr-FR"/>
        </w:rPr>
        <w:t>valeur du litige</w:t>
      </w:r>
      <w:r w:rsidRPr="00476165">
        <w:rPr>
          <w:rFonts w:cs="Times New Roman"/>
          <w:lang w:val="fr-FR"/>
        </w:rPr>
        <w:t xml:space="preserve">  (article 972,§2,</w:t>
      </w:r>
      <w:r w:rsidR="00BD5918">
        <w:rPr>
          <w:rFonts w:cs="Times New Roman"/>
          <w:lang w:val="fr-FR"/>
        </w:rPr>
        <w:t xml:space="preserve"> </w:t>
      </w:r>
      <w:r w:rsidRPr="00476165">
        <w:rPr>
          <w:rFonts w:cs="Times New Roman"/>
          <w:lang w:val="fr-FR"/>
        </w:rPr>
        <w:t xml:space="preserve">alinéa 7, 4° du Code judiciaire) ; </w:t>
      </w:r>
    </w:p>
    <w:p w14:paraId="3E59D09C" w14:textId="77777777" w:rsidR="00302E61" w:rsidRPr="00476165" w:rsidRDefault="00302E61" w:rsidP="00302E61">
      <w:pPr>
        <w:tabs>
          <w:tab w:val="left" w:pos="-1440"/>
        </w:tabs>
        <w:snapToGrid w:val="0"/>
        <w:jc w:val="both"/>
        <w:rPr>
          <w:rFonts w:cs="Times New Roman"/>
          <w:lang w:val="fr-FR"/>
        </w:rPr>
      </w:pPr>
    </w:p>
    <w:p w14:paraId="16A4B755" w14:textId="77777777" w:rsidR="00302E61" w:rsidRPr="00476165" w:rsidRDefault="00302E61" w:rsidP="00302E61">
      <w:pPr>
        <w:numPr>
          <w:ilvl w:val="0"/>
          <w:numId w:val="3"/>
        </w:numPr>
        <w:tabs>
          <w:tab w:val="left" w:pos="-1440"/>
        </w:tabs>
        <w:snapToGrid w:val="0"/>
        <w:jc w:val="both"/>
        <w:rPr>
          <w:rFonts w:cs="Times New Roman"/>
          <w:lang w:val="fr-FR"/>
        </w:rPr>
      </w:pPr>
      <w:r w:rsidRPr="00476165">
        <w:rPr>
          <w:rFonts w:cs="Times New Roman"/>
          <w:lang w:val="fr-FR"/>
        </w:rPr>
        <w:t xml:space="preserve">donner connaissance aux parties de ses constatations ainsi qu’un avis provisoire à la fin des opérations (en fixant à celles-ci dans la mesure du possible, un délai de quinze jours maximum), pour que celles-ci lui fassent connaître leurs observations quant aux préliminaires des opérations d’expertise ; </w:t>
      </w:r>
    </w:p>
    <w:p w14:paraId="4819F65E" w14:textId="77777777" w:rsidR="00302E61" w:rsidRPr="00476165" w:rsidRDefault="00302E61" w:rsidP="00302E61">
      <w:pPr>
        <w:tabs>
          <w:tab w:val="left" w:pos="-1440"/>
        </w:tabs>
        <w:snapToGrid w:val="0"/>
        <w:jc w:val="both"/>
        <w:rPr>
          <w:rFonts w:cs="Times New Roman"/>
          <w:lang w:val="fr-FR"/>
        </w:rPr>
      </w:pPr>
    </w:p>
    <w:p w14:paraId="270D60B9"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acter, outre le relevé des documents et notes remis dans le cadre de l’expertise, les déclarations verbales, les réquisitions, ainsi que les observations des parties, outre celles de leurs médecins conseils et de leurs avocats, en son rapport définitif ;</w:t>
      </w:r>
    </w:p>
    <w:p w14:paraId="47445440" w14:textId="77777777" w:rsidR="00302E61" w:rsidRPr="00476165" w:rsidRDefault="00302E61" w:rsidP="00302E61">
      <w:pPr>
        <w:tabs>
          <w:tab w:val="left" w:pos="-1440"/>
        </w:tabs>
        <w:snapToGrid w:val="0"/>
        <w:jc w:val="both"/>
        <w:rPr>
          <w:rFonts w:cs="Times New Roman"/>
          <w:lang w:val="fr-FR"/>
        </w:rPr>
      </w:pPr>
    </w:p>
    <w:p w14:paraId="2360FA30"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tenter de concilier les parties en application de l’article 977 du Code judiciaire ;</w:t>
      </w:r>
    </w:p>
    <w:p w14:paraId="5A6ABC3B" w14:textId="77777777" w:rsidR="00302E61" w:rsidRPr="00476165" w:rsidRDefault="00302E61" w:rsidP="00302E61">
      <w:pPr>
        <w:tabs>
          <w:tab w:val="left" w:pos="-1440"/>
        </w:tabs>
        <w:snapToGrid w:val="0"/>
        <w:jc w:val="both"/>
        <w:rPr>
          <w:rFonts w:cs="Times New Roman"/>
          <w:lang w:val="fr-FR"/>
        </w:rPr>
      </w:pPr>
    </w:p>
    <w:p w14:paraId="4BC4177F" w14:textId="77777777" w:rsidR="00302E61" w:rsidRPr="00517D41" w:rsidRDefault="00302E61" w:rsidP="00302E61">
      <w:pPr>
        <w:numPr>
          <w:ilvl w:val="0"/>
          <w:numId w:val="4"/>
        </w:numPr>
        <w:tabs>
          <w:tab w:val="left" w:pos="-1440"/>
        </w:tabs>
        <w:snapToGrid w:val="0"/>
        <w:jc w:val="both"/>
        <w:rPr>
          <w:rFonts w:cs="Times New Roman"/>
          <w:lang w:val="fr-FR"/>
        </w:rPr>
      </w:pPr>
      <w:r w:rsidRPr="00476165">
        <w:rPr>
          <w:rFonts w:cs="Times New Roman"/>
          <w:lang w:val="fr-FR"/>
        </w:rPr>
        <w:t xml:space="preserve">dresser rapport écrit et motivé à déposer au greffe de ce tribunal dans les </w:t>
      </w:r>
      <w:r w:rsidR="00772350">
        <w:rPr>
          <w:rFonts w:cs="Times New Roman"/>
          <w:lang w:val="fr-FR"/>
        </w:rPr>
        <w:t>s</w:t>
      </w:r>
      <w:r w:rsidRPr="00476165">
        <w:rPr>
          <w:rFonts w:cs="Times New Roman"/>
          <w:lang w:val="fr-FR"/>
        </w:rPr>
        <w:t xml:space="preserve">ix mois à dater du jour où il aura été saisi de sa mission par le greffe, la prolongation de ce délai étant régie par l’article 974 du Code judiciaire (idéalement l’expert déposera bien entendu son rapport final dans les </w:t>
      </w:r>
      <w:r w:rsidRPr="00476165">
        <w:rPr>
          <w:rFonts w:cs="Times New Roman"/>
          <w:b/>
          <w:bCs/>
          <w:lang w:val="fr-FR"/>
        </w:rPr>
        <w:t>six mois</w:t>
      </w:r>
      <w:r w:rsidRPr="00476165">
        <w:rPr>
          <w:rFonts w:cs="Times New Roman"/>
          <w:lang w:val="fr-FR"/>
        </w:rPr>
        <w:t> ; si cela s’avère impossible, il dressera à tout le moins au tribunal un rapport intermédiaire sur l’état d’avancement de ses travaux au terme de ces si</w:t>
      </w:r>
      <w:r w:rsidR="00772350">
        <w:rPr>
          <w:rFonts w:cs="Times New Roman"/>
          <w:lang w:val="fr-FR"/>
        </w:rPr>
        <w:t>x</w:t>
      </w:r>
      <w:r w:rsidRPr="00476165">
        <w:rPr>
          <w:rFonts w:cs="Times New Roman"/>
          <w:lang w:val="fr-FR"/>
        </w:rPr>
        <w:t xml:space="preserve"> mois, conformément à l’article 974,§1</w:t>
      </w:r>
      <w:r w:rsidRPr="00476165">
        <w:rPr>
          <w:rFonts w:cs="Times New Roman"/>
          <w:vertAlign w:val="superscript"/>
          <w:lang w:val="fr-FR"/>
        </w:rPr>
        <w:t>er</w:t>
      </w:r>
      <w:r w:rsidRPr="00476165">
        <w:rPr>
          <w:rFonts w:cs="Times New Roman"/>
          <w:lang w:val="fr-FR"/>
        </w:rPr>
        <w:t xml:space="preserve"> du Code judiciaire) ;</w:t>
      </w:r>
    </w:p>
    <w:p w14:paraId="3CC64AD7" w14:textId="77777777" w:rsidR="00302E61" w:rsidRPr="00476165" w:rsidRDefault="00302E61" w:rsidP="00302E61">
      <w:pPr>
        <w:tabs>
          <w:tab w:val="left" w:pos="-1440"/>
        </w:tabs>
        <w:snapToGrid w:val="0"/>
        <w:jc w:val="both"/>
        <w:rPr>
          <w:rFonts w:cs="Times New Roman"/>
          <w:lang w:val="fr-FR"/>
        </w:rPr>
      </w:pPr>
    </w:p>
    <w:p w14:paraId="1E31DC92"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le jour du dépôt dudit rapport au Greffe, d’en communiquer aux parties,</w:t>
      </w:r>
      <w:r w:rsidRPr="00476165">
        <w:rPr>
          <w:rFonts w:cs="Times New Roman"/>
          <w:b/>
          <w:lang w:val="fr-FR"/>
        </w:rPr>
        <w:t xml:space="preserve"> </w:t>
      </w:r>
      <w:r w:rsidRPr="00476165">
        <w:rPr>
          <w:rFonts w:cs="Times New Roman"/>
          <w:lang w:val="fr-FR"/>
        </w:rPr>
        <w:t>sous pli recommandé à la poste, une copie certifiée conforme, ainsi que de l’état des honoraires et frais qui y est inscrit ;</w:t>
      </w:r>
    </w:p>
    <w:p w14:paraId="79E784EF" w14:textId="77777777" w:rsidR="00302E61" w:rsidRPr="00476165" w:rsidRDefault="00302E61" w:rsidP="00302E61">
      <w:pPr>
        <w:tabs>
          <w:tab w:val="left" w:pos="-1440"/>
        </w:tabs>
        <w:snapToGrid w:val="0"/>
        <w:jc w:val="both"/>
        <w:rPr>
          <w:rFonts w:cs="Times New Roman"/>
          <w:lang w:val="fr-FR"/>
        </w:rPr>
      </w:pPr>
    </w:p>
    <w:p w14:paraId="41E3B1FF" w14:textId="77777777" w:rsidR="00302E61" w:rsidRPr="00476165" w:rsidRDefault="00302E61" w:rsidP="00302E61">
      <w:pPr>
        <w:numPr>
          <w:ilvl w:val="0"/>
          <w:numId w:val="4"/>
        </w:numPr>
        <w:tabs>
          <w:tab w:val="left" w:pos="-1440"/>
        </w:tabs>
        <w:snapToGrid w:val="0"/>
        <w:jc w:val="both"/>
        <w:rPr>
          <w:rFonts w:cs="Times New Roman"/>
          <w:lang w:val="fr-FR"/>
        </w:rPr>
      </w:pPr>
      <w:r w:rsidRPr="00476165">
        <w:rPr>
          <w:rFonts w:cs="Times New Roman"/>
          <w:lang w:val="fr-FR"/>
        </w:rPr>
        <w:t xml:space="preserve">d’adresser une copie non signée de ces mêmes </w:t>
      </w:r>
      <w:r w:rsidR="00EF5EC3">
        <w:rPr>
          <w:rFonts w:cs="Times New Roman"/>
          <w:lang w:val="fr-FR"/>
        </w:rPr>
        <w:t>documents aux avocats et</w:t>
      </w:r>
      <w:r w:rsidRPr="00476165">
        <w:rPr>
          <w:rFonts w:cs="Times New Roman"/>
          <w:lang w:val="fr-FR"/>
        </w:rPr>
        <w:t>/ou représentant</w:t>
      </w:r>
      <w:r w:rsidR="00EF5EC3">
        <w:rPr>
          <w:rFonts w:cs="Times New Roman"/>
          <w:lang w:val="fr-FR"/>
        </w:rPr>
        <w:t>s</w:t>
      </w:r>
      <w:r w:rsidRPr="00476165">
        <w:rPr>
          <w:rFonts w:cs="Times New Roman"/>
          <w:lang w:val="fr-FR"/>
        </w:rPr>
        <w:t xml:space="preserve"> des parties.</w:t>
      </w:r>
    </w:p>
    <w:p w14:paraId="57305023" w14:textId="77777777" w:rsidR="00302E61" w:rsidRPr="00476165" w:rsidRDefault="00302E61" w:rsidP="00302E61">
      <w:pPr>
        <w:tabs>
          <w:tab w:val="left" w:pos="-1440"/>
        </w:tabs>
        <w:snapToGrid w:val="0"/>
        <w:jc w:val="both"/>
        <w:rPr>
          <w:rFonts w:cs="Times New Roman"/>
          <w:lang w:val="fr-FR"/>
        </w:rPr>
      </w:pPr>
    </w:p>
    <w:p w14:paraId="737F3A02" w14:textId="77777777" w:rsidR="00302E61" w:rsidRPr="00476165" w:rsidRDefault="00302E61" w:rsidP="00302E61">
      <w:pPr>
        <w:tabs>
          <w:tab w:val="left" w:pos="-1440"/>
        </w:tabs>
        <w:snapToGrid w:val="0"/>
        <w:jc w:val="both"/>
        <w:rPr>
          <w:rFonts w:cs="Times New Roman"/>
          <w:lang w:val="fr-FR"/>
        </w:rPr>
      </w:pPr>
      <w:r w:rsidRPr="00476165">
        <w:rPr>
          <w:rFonts w:cs="Times New Roman"/>
          <w:lang w:val="fr-FR"/>
        </w:rPr>
        <w:lastRenderedPageBreak/>
        <w:t>Dès après le dépôt du rapport de l’expert, chacune des parties pourra demander la fixation de la cause à l’audience, en application de l’article 730,§2, b) du Code judiciaire.</w:t>
      </w:r>
    </w:p>
    <w:p w14:paraId="72E1631F" w14:textId="77777777" w:rsidR="00302E61" w:rsidRDefault="00302E61" w:rsidP="00302E61">
      <w:pPr>
        <w:tabs>
          <w:tab w:val="left" w:pos="-1440"/>
        </w:tabs>
        <w:snapToGrid w:val="0"/>
        <w:jc w:val="both"/>
        <w:rPr>
          <w:rFonts w:cs="Times New Roman"/>
          <w:b/>
          <w:bCs/>
          <w:lang w:val="fr-FR"/>
        </w:rPr>
      </w:pPr>
    </w:p>
    <w:p w14:paraId="4BA49AF7" w14:textId="77777777" w:rsidR="002F05DB" w:rsidRPr="00354C36" w:rsidRDefault="002F05DB" w:rsidP="002F05DB">
      <w:pPr>
        <w:jc w:val="both"/>
        <w:rPr>
          <w:rFonts w:cs="Times New Roman"/>
        </w:rPr>
      </w:pPr>
      <w:r w:rsidRPr="00662527">
        <w:rPr>
          <w:rFonts w:cs="Times New Roman"/>
          <w:b/>
          <w:lang w:val="fr-FR"/>
        </w:rPr>
        <w:t xml:space="preserve">DIT POUR DROIT </w:t>
      </w:r>
      <w:r w:rsidRPr="00265298">
        <w:rPr>
          <w:rFonts w:cs="Times New Roman"/>
          <w:lang w:val="fr-FR"/>
        </w:rPr>
        <w:t>qu’</w:t>
      </w:r>
      <w:r>
        <w:rPr>
          <w:rFonts w:cs="Times New Roman"/>
        </w:rPr>
        <w:t>e</w:t>
      </w:r>
      <w:r w:rsidRPr="006634EC">
        <w:rPr>
          <w:rFonts w:cs="Times New Roman"/>
        </w:rPr>
        <w:t xml:space="preserve">n l’absence de toute particularité </w:t>
      </w:r>
      <w:r>
        <w:rPr>
          <w:rFonts w:cs="Times New Roman"/>
        </w:rPr>
        <w:t>mise en exergue par FEDRIS, le t</w:t>
      </w:r>
      <w:r w:rsidRPr="006634EC">
        <w:rPr>
          <w:rFonts w:cs="Times New Roman"/>
        </w:rPr>
        <w:t xml:space="preserve">ribunal ne dérogera pas aux principes repris aux articles 1050 </w:t>
      </w:r>
      <w:r>
        <w:rPr>
          <w:rFonts w:cs="Times New Roman"/>
        </w:rPr>
        <w:t xml:space="preserve">alinéa 2 </w:t>
      </w:r>
      <w:r w:rsidRPr="006634EC">
        <w:rPr>
          <w:rFonts w:cs="Times New Roman"/>
        </w:rPr>
        <w:t>et 1397 du code judiciaire.</w:t>
      </w:r>
    </w:p>
    <w:p w14:paraId="04D9D591" w14:textId="77777777" w:rsidR="002F05DB" w:rsidRDefault="002F05DB" w:rsidP="00302E61">
      <w:pPr>
        <w:tabs>
          <w:tab w:val="left" w:pos="-1440"/>
        </w:tabs>
        <w:snapToGrid w:val="0"/>
        <w:jc w:val="both"/>
        <w:rPr>
          <w:rFonts w:cs="Times New Roman"/>
          <w:lang w:val="fr-FR"/>
        </w:rPr>
      </w:pPr>
    </w:p>
    <w:p w14:paraId="33E2DB5E" w14:textId="77777777" w:rsidR="00302E61" w:rsidRDefault="00302E61" w:rsidP="00302E61">
      <w:pPr>
        <w:tabs>
          <w:tab w:val="left" w:pos="-1440"/>
        </w:tabs>
        <w:snapToGrid w:val="0"/>
        <w:jc w:val="both"/>
        <w:rPr>
          <w:rFonts w:cs="Times New Roman"/>
          <w:lang w:val="fr-FR"/>
        </w:rPr>
      </w:pPr>
      <w:r w:rsidRPr="00476165">
        <w:rPr>
          <w:rFonts w:cs="Times New Roman"/>
          <w:lang w:val="fr-FR"/>
        </w:rPr>
        <w:t>Ce fait, le tribunal :</w:t>
      </w:r>
    </w:p>
    <w:p w14:paraId="210667C3" w14:textId="77777777" w:rsidR="00694ED6" w:rsidRPr="00476165" w:rsidRDefault="00694ED6" w:rsidP="00302E61">
      <w:pPr>
        <w:tabs>
          <w:tab w:val="left" w:pos="-1440"/>
        </w:tabs>
        <w:snapToGrid w:val="0"/>
        <w:jc w:val="both"/>
        <w:rPr>
          <w:rFonts w:cs="Times New Roman"/>
          <w:lang w:val="fr-FR"/>
        </w:rPr>
      </w:pPr>
    </w:p>
    <w:p w14:paraId="0DC769AD" w14:textId="77777777" w:rsidR="00302E61" w:rsidRPr="00476165" w:rsidRDefault="00302E61" w:rsidP="00302E61">
      <w:pPr>
        <w:tabs>
          <w:tab w:val="left" w:pos="-1440"/>
        </w:tabs>
        <w:snapToGrid w:val="0"/>
        <w:jc w:val="both"/>
        <w:rPr>
          <w:rFonts w:cs="Times New Roman"/>
          <w:lang w:val="fr-FR"/>
        </w:rPr>
      </w:pPr>
      <w:r w:rsidRPr="00476165">
        <w:rPr>
          <w:rFonts w:cs="Times New Roman"/>
          <w:b/>
          <w:lang w:val="fr-FR"/>
        </w:rPr>
        <w:t>RESERVE</w:t>
      </w:r>
      <w:r w:rsidRPr="00476165">
        <w:rPr>
          <w:rFonts w:cs="Times New Roman"/>
          <w:lang w:val="fr-FR"/>
        </w:rPr>
        <w:t xml:space="preserve"> à statuer sur le surplus, et en ce compris les dépens ; </w:t>
      </w:r>
    </w:p>
    <w:p w14:paraId="362DD06A" w14:textId="77777777" w:rsidR="00302E61" w:rsidRPr="00476165" w:rsidRDefault="00302E61" w:rsidP="00302E61">
      <w:pPr>
        <w:tabs>
          <w:tab w:val="left" w:pos="-1440"/>
        </w:tabs>
        <w:snapToGrid w:val="0"/>
        <w:jc w:val="both"/>
        <w:rPr>
          <w:rFonts w:cs="Times New Roman"/>
          <w:lang w:val="fr-FR"/>
        </w:rPr>
      </w:pPr>
    </w:p>
    <w:p w14:paraId="16A13FB0" w14:textId="77777777" w:rsidR="00302E61" w:rsidRDefault="00302E61" w:rsidP="00302E61">
      <w:pPr>
        <w:tabs>
          <w:tab w:val="left" w:pos="-1440"/>
        </w:tabs>
        <w:snapToGrid w:val="0"/>
        <w:jc w:val="both"/>
        <w:rPr>
          <w:rFonts w:cs="Times New Roman"/>
          <w:lang w:val="fr-FR"/>
        </w:rPr>
      </w:pPr>
      <w:r w:rsidRPr="00476165">
        <w:rPr>
          <w:rFonts w:cs="Times New Roman"/>
          <w:b/>
          <w:lang w:val="fr-FR"/>
        </w:rPr>
        <w:t>RENVOIE</w:t>
      </w:r>
      <w:r w:rsidRPr="00476165">
        <w:rPr>
          <w:rFonts w:cs="Times New Roman"/>
          <w:lang w:val="fr-FR"/>
        </w:rPr>
        <w:t xml:space="preserve"> la cause au rôle.</w:t>
      </w:r>
    </w:p>
    <w:p w14:paraId="4314F9DC" w14:textId="77777777" w:rsidR="007D3CEF" w:rsidRDefault="007D3CEF" w:rsidP="00302E61">
      <w:pPr>
        <w:tabs>
          <w:tab w:val="left" w:pos="-1440"/>
        </w:tabs>
        <w:snapToGrid w:val="0"/>
        <w:jc w:val="both"/>
        <w:rPr>
          <w:rFonts w:cs="Times New Roman"/>
          <w:lang w:val="fr-FR"/>
        </w:rPr>
      </w:pPr>
    </w:p>
    <w:p w14:paraId="16C24C3C" w14:textId="77777777" w:rsidR="007D3CEF" w:rsidRDefault="007D3CEF" w:rsidP="00FE7062">
      <w:pPr>
        <w:tabs>
          <w:tab w:val="left" w:pos="-1440"/>
        </w:tabs>
        <w:jc w:val="both"/>
        <w:rPr>
          <w:b/>
          <w:bCs/>
          <w:iCs/>
        </w:rPr>
      </w:pPr>
      <w:r w:rsidRPr="0034712E">
        <w:rPr>
          <w:b/>
          <w:bCs/>
          <w:iCs/>
        </w:rPr>
        <w:t>AINSI JUGÉ PAR LE TRIBUNAL DU TRAVAIL DE LIEGE DIVISION VERVIERS (DEUXIEME CHAMBRE) composé de</w:t>
      </w:r>
    </w:p>
    <w:p w14:paraId="36F34F12" w14:textId="77777777" w:rsidR="007D3CEF" w:rsidRPr="0034712E" w:rsidRDefault="007D3CEF" w:rsidP="00FE7062">
      <w:pPr>
        <w:tabs>
          <w:tab w:val="left" w:pos="-1440"/>
        </w:tabs>
        <w:jc w:val="both"/>
        <w:rPr>
          <w:b/>
          <w:bCs/>
          <w:iCs/>
        </w:rPr>
      </w:pPr>
    </w:p>
    <w:p w14:paraId="2F2D4500" w14:textId="77777777" w:rsidR="007D3CEF" w:rsidRPr="0034712E" w:rsidRDefault="007D3CEF" w:rsidP="00FE7062">
      <w:pPr>
        <w:tabs>
          <w:tab w:val="left" w:pos="-1440"/>
        </w:tabs>
        <w:jc w:val="both"/>
        <w:rPr>
          <w:b/>
          <w:bCs/>
          <w:iCs/>
        </w:rPr>
      </w:pPr>
      <w:r w:rsidRPr="0034712E">
        <w:rPr>
          <w:b/>
          <w:bCs/>
          <w:iCs/>
        </w:rPr>
        <w:t>BELLEFLAMME Viviane, Juge effectif – Président de la chambre.</w:t>
      </w:r>
    </w:p>
    <w:p w14:paraId="76BCD435" w14:textId="77777777" w:rsidR="007D3CEF" w:rsidRPr="0034712E" w:rsidRDefault="007D3CEF" w:rsidP="00FE7062">
      <w:pPr>
        <w:tabs>
          <w:tab w:val="left" w:pos="-1440"/>
        </w:tabs>
        <w:jc w:val="both"/>
        <w:rPr>
          <w:b/>
          <w:bCs/>
          <w:iCs/>
        </w:rPr>
      </w:pPr>
      <w:r>
        <w:rPr>
          <w:b/>
          <w:bCs/>
          <w:iCs/>
        </w:rPr>
        <w:t>HICK Paul-Philippe</w:t>
      </w:r>
      <w:r w:rsidRPr="0034712E">
        <w:rPr>
          <w:b/>
          <w:bCs/>
          <w:iCs/>
        </w:rPr>
        <w:t>, Juge social employeur.</w:t>
      </w:r>
    </w:p>
    <w:p w14:paraId="4525F2D5" w14:textId="77777777" w:rsidR="007D3CEF" w:rsidRPr="0034712E" w:rsidRDefault="007D3CEF" w:rsidP="00FE7062">
      <w:pPr>
        <w:tabs>
          <w:tab w:val="left" w:pos="-1440"/>
        </w:tabs>
        <w:jc w:val="both"/>
        <w:rPr>
          <w:b/>
          <w:bCs/>
          <w:iCs/>
        </w:rPr>
      </w:pPr>
      <w:r w:rsidRPr="0034712E">
        <w:rPr>
          <w:b/>
          <w:bCs/>
          <w:iCs/>
        </w:rPr>
        <w:t>GARROY Jérôme, Juge social travailleur ouvrier.</w:t>
      </w:r>
    </w:p>
    <w:p w14:paraId="5BE1BFB3" w14:textId="77777777" w:rsidR="007D3CEF" w:rsidRPr="0034712E" w:rsidRDefault="007D3CEF" w:rsidP="00FE7062">
      <w:pPr>
        <w:tabs>
          <w:tab w:val="left" w:pos="-1440"/>
        </w:tabs>
        <w:jc w:val="both"/>
        <w:rPr>
          <w:b/>
          <w:bCs/>
          <w:iCs/>
        </w:rPr>
      </w:pPr>
      <w:r w:rsidRPr="0034712E">
        <w:rPr>
          <w:b/>
          <w:bCs/>
          <w:iCs/>
        </w:rPr>
        <w:t>qui ont participé au délibéré.</w:t>
      </w:r>
    </w:p>
    <w:p w14:paraId="7E842C8F" w14:textId="77777777" w:rsidR="007D3CEF" w:rsidRPr="0034712E" w:rsidRDefault="007D3CEF" w:rsidP="00FE7062">
      <w:pPr>
        <w:tabs>
          <w:tab w:val="left" w:pos="-1440"/>
        </w:tabs>
        <w:jc w:val="both"/>
        <w:rPr>
          <w:b/>
          <w:bCs/>
          <w:iCs/>
        </w:rPr>
      </w:pPr>
    </w:p>
    <w:p w14:paraId="2FAE77CA" w14:textId="77777777" w:rsidR="007D3CEF" w:rsidRDefault="007D3CEF" w:rsidP="00FE7062">
      <w:pPr>
        <w:tabs>
          <w:tab w:val="left" w:pos="-1440"/>
        </w:tabs>
        <w:jc w:val="both"/>
        <w:rPr>
          <w:b/>
          <w:bCs/>
          <w:iCs/>
        </w:rPr>
      </w:pPr>
    </w:p>
    <w:p w14:paraId="53365460" w14:textId="77777777" w:rsidR="007D3CEF" w:rsidRDefault="007D3CEF" w:rsidP="00FE7062">
      <w:pPr>
        <w:tabs>
          <w:tab w:val="left" w:pos="-1440"/>
        </w:tabs>
        <w:jc w:val="both"/>
        <w:rPr>
          <w:b/>
          <w:bCs/>
          <w:iCs/>
        </w:rPr>
      </w:pPr>
    </w:p>
    <w:p w14:paraId="664FD877" w14:textId="77777777" w:rsidR="007D3CEF" w:rsidRPr="0034712E" w:rsidRDefault="007D3CEF" w:rsidP="00FE7062">
      <w:pPr>
        <w:tabs>
          <w:tab w:val="left" w:pos="-1440"/>
        </w:tabs>
        <w:jc w:val="both"/>
        <w:rPr>
          <w:b/>
          <w:bCs/>
          <w:iCs/>
        </w:rPr>
      </w:pPr>
    </w:p>
    <w:p w14:paraId="20303529" w14:textId="77777777" w:rsidR="007D3CEF" w:rsidRDefault="007D3CEF" w:rsidP="0034712E">
      <w:pPr>
        <w:tabs>
          <w:tab w:val="left" w:pos="-1440"/>
        </w:tabs>
        <w:ind w:right="-776"/>
        <w:jc w:val="center"/>
        <w:rPr>
          <w:b/>
          <w:bCs/>
          <w:iCs/>
        </w:rPr>
      </w:pPr>
      <w:r>
        <w:rPr>
          <w:b/>
          <w:bCs/>
          <w:iCs/>
        </w:rPr>
        <w:t>BELLEFLAMME Viviane</w:t>
      </w:r>
      <w:r>
        <w:rPr>
          <w:b/>
          <w:bCs/>
          <w:iCs/>
        </w:rPr>
        <w:tab/>
        <w:t xml:space="preserve">       HICK Paul-Philippe</w:t>
      </w:r>
      <w:r w:rsidRPr="0034712E">
        <w:rPr>
          <w:b/>
          <w:bCs/>
          <w:iCs/>
        </w:rPr>
        <w:tab/>
      </w:r>
      <w:r>
        <w:rPr>
          <w:b/>
          <w:bCs/>
          <w:iCs/>
        </w:rPr>
        <w:t xml:space="preserve"> </w:t>
      </w:r>
      <w:r w:rsidRPr="0034712E">
        <w:rPr>
          <w:b/>
          <w:bCs/>
          <w:iCs/>
        </w:rPr>
        <w:t>GARROY Jérôme</w:t>
      </w:r>
    </w:p>
    <w:p w14:paraId="747416E5" w14:textId="77777777" w:rsidR="007D3CEF" w:rsidRPr="0034712E" w:rsidRDefault="007D3CEF" w:rsidP="0034712E">
      <w:pPr>
        <w:tabs>
          <w:tab w:val="left" w:pos="-1440"/>
        </w:tabs>
        <w:ind w:right="-776"/>
        <w:jc w:val="center"/>
        <w:rPr>
          <w:b/>
          <w:bCs/>
          <w:iCs/>
        </w:rPr>
      </w:pPr>
    </w:p>
    <w:p w14:paraId="249F4774" w14:textId="77777777" w:rsidR="007D3CEF" w:rsidRPr="0034712E" w:rsidRDefault="007D3CEF" w:rsidP="00FE7062">
      <w:pPr>
        <w:tabs>
          <w:tab w:val="left" w:pos="-1440"/>
        </w:tabs>
        <w:jc w:val="both"/>
        <w:rPr>
          <w:b/>
          <w:bCs/>
          <w:iCs/>
        </w:rPr>
      </w:pPr>
      <w:r w:rsidRPr="0034712E">
        <w:rPr>
          <w:b/>
          <w:bCs/>
          <w:iCs/>
        </w:rPr>
        <w:t>et prononcé</w:t>
      </w:r>
      <w:r w:rsidRPr="0034712E">
        <w:rPr>
          <w:b/>
          <w:bCs/>
        </w:rPr>
        <w:t xml:space="preserve"> </w:t>
      </w:r>
      <w:r w:rsidRPr="0034712E">
        <w:rPr>
          <w:b/>
          <w:bCs/>
          <w:iCs/>
        </w:rPr>
        <w:t xml:space="preserve">en langue française par BELLEFLAMME Viviane, Juge effectif – Président de la chambre, à l’audience publique de la 2ème chambre du TRIBUNAL DU TRAVAIL DE LIEGE – DIVISION DE VERVIERS, le </w:t>
      </w:r>
      <w:r>
        <w:rPr>
          <w:b/>
          <w:bCs/>
          <w:iCs/>
        </w:rPr>
        <w:t>1er septembre 2022</w:t>
      </w:r>
      <w:r w:rsidRPr="0034712E">
        <w:rPr>
          <w:b/>
          <w:bCs/>
          <w:iCs/>
        </w:rPr>
        <w:t xml:space="preserve">, assisté de MATHY Florian, Greffier. </w:t>
      </w:r>
    </w:p>
    <w:p w14:paraId="0D84F526" w14:textId="77777777" w:rsidR="007D3CEF" w:rsidRDefault="007D3CEF" w:rsidP="00FE7062">
      <w:pPr>
        <w:rPr>
          <w:b/>
          <w:bCs/>
          <w:iCs/>
        </w:rPr>
      </w:pPr>
    </w:p>
    <w:p w14:paraId="40BD7BA3" w14:textId="77777777" w:rsidR="007D3CEF" w:rsidRDefault="007D3CEF" w:rsidP="00FE7062">
      <w:pPr>
        <w:rPr>
          <w:b/>
          <w:bCs/>
          <w:iCs/>
        </w:rPr>
      </w:pPr>
    </w:p>
    <w:p w14:paraId="403CE4F8" w14:textId="77777777" w:rsidR="007D3CEF" w:rsidRPr="0034712E" w:rsidRDefault="007D3CEF" w:rsidP="00FE7062">
      <w:pPr>
        <w:rPr>
          <w:b/>
          <w:bCs/>
          <w:iCs/>
        </w:rPr>
      </w:pPr>
    </w:p>
    <w:p w14:paraId="7B28E63E" w14:textId="77777777" w:rsidR="007D3CEF" w:rsidRPr="0034712E" w:rsidRDefault="007D3CEF" w:rsidP="00FE7062">
      <w:pPr>
        <w:rPr>
          <w:b/>
          <w:bCs/>
          <w:iCs/>
        </w:rPr>
      </w:pPr>
    </w:p>
    <w:p w14:paraId="6B15C4CB" w14:textId="77777777" w:rsidR="007D3CEF" w:rsidRPr="0034712E" w:rsidRDefault="007D3CEF" w:rsidP="00FE7062">
      <w:pPr>
        <w:rPr>
          <w:b/>
          <w:bCs/>
          <w:iCs/>
        </w:rPr>
      </w:pPr>
    </w:p>
    <w:p w14:paraId="3D2B8BB8" w14:textId="77777777" w:rsidR="007D3CEF" w:rsidRPr="0034712E" w:rsidRDefault="007D3CEF" w:rsidP="009A6BC1">
      <w:pPr>
        <w:tabs>
          <w:tab w:val="left" w:pos="-1440"/>
        </w:tabs>
        <w:snapToGrid w:val="0"/>
        <w:jc w:val="both"/>
        <w:rPr>
          <w:b/>
        </w:rPr>
      </w:pPr>
      <w:r w:rsidRPr="0034712E">
        <w:rPr>
          <w:b/>
          <w:bCs/>
          <w:iCs/>
          <w:snapToGrid w:val="0"/>
        </w:rPr>
        <w:t xml:space="preserve">             </w:t>
      </w:r>
      <w:r w:rsidRPr="0034712E">
        <w:rPr>
          <w:b/>
          <w:bCs/>
          <w:iCs/>
        </w:rPr>
        <w:t>BELLEFLAMME Viviane</w:t>
      </w:r>
      <w:r w:rsidRPr="0034712E">
        <w:rPr>
          <w:b/>
          <w:bCs/>
          <w:iCs/>
          <w:snapToGrid w:val="0"/>
        </w:rPr>
        <w:tab/>
      </w:r>
      <w:r w:rsidRPr="0034712E">
        <w:rPr>
          <w:b/>
          <w:bCs/>
          <w:iCs/>
          <w:snapToGrid w:val="0"/>
        </w:rPr>
        <w:tab/>
      </w:r>
      <w:r w:rsidRPr="0034712E">
        <w:rPr>
          <w:b/>
          <w:bCs/>
          <w:iCs/>
          <w:snapToGrid w:val="0"/>
        </w:rPr>
        <w:tab/>
      </w:r>
      <w:r w:rsidRPr="0034712E">
        <w:rPr>
          <w:b/>
          <w:bCs/>
          <w:iCs/>
        </w:rPr>
        <w:t>MATHY Florian</w:t>
      </w:r>
    </w:p>
    <w:p w14:paraId="4A9BE1F1" w14:textId="77777777" w:rsidR="007D3CEF" w:rsidRPr="006C2BF8" w:rsidRDefault="007D3CEF" w:rsidP="006C0E37">
      <w:pPr>
        <w:tabs>
          <w:tab w:val="left" w:pos="-1440"/>
        </w:tabs>
        <w:snapToGrid w:val="0"/>
        <w:jc w:val="both"/>
        <w:rPr>
          <w:b/>
        </w:rPr>
      </w:pPr>
    </w:p>
    <w:p w14:paraId="5937BB0F" w14:textId="77777777" w:rsidR="007D3CEF" w:rsidRPr="00476165" w:rsidRDefault="007D3CEF" w:rsidP="00302E61">
      <w:pPr>
        <w:tabs>
          <w:tab w:val="left" w:pos="-1440"/>
        </w:tabs>
        <w:snapToGrid w:val="0"/>
        <w:jc w:val="both"/>
        <w:rPr>
          <w:rFonts w:cs="Times New Roman"/>
          <w:lang w:val="fr-FR"/>
        </w:rPr>
      </w:pPr>
    </w:p>
    <w:sectPr w:rsidR="007D3CEF" w:rsidRPr="00476165" w:rsidSect="008553AB">
      <w:headerReference w:type="default" r:id="rId16"/>
      <w:pgSz w:w="11905" w:h="16837"/>
      <w:pgMar w:top="1134" w:right="1735"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604C" w14:textId="77777777" w:rsidR="00410650" w:rsidRDefault="00410650">
      <w:r>
        <w:separator/>
      </w:r>
    </w:p>
  </w:endnote>
  <w:endnote w:type="continuationSeparator" w:id="0">
    <w:p w14:paraId="3325F5EF" w14:textId="77777777" w:rsidR="00410650" w:rsidRDefault="0041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umberland AMT">
    <w:charset w:val="00"/>
    <w:family w:val="modern"/>
    <w:pitch w:val="fixed"/>
  </w:font>
  <w:font w:name="StarSymbol">
    <w:charset w:val="00"/>
    <w:family w:val="auto"/>
    <w:pitch w:val="default"/>
  </w:font>
  <w:font w:name="MS Sans Serif">
    <w:altName w:val="Arial"/>
    <w:panose1 w:val="020B0500000000000000"/>
    <w:charset w:val="00"/>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1C16" w14:textId="77777777" w:rsidR="00410650" w:rsidRDefault="00410650">
      <w:r>
        <w:rPr>
          <w:color w:val="000000"/>
        </w:rPr>
        <w:separator/>
      </w:r>
    </w:p>
  </w:footnote>
  <w:footnote w:type="continuationSeparator" w:id="0">
    <w:p w14:paraId="2A486506" w14:textId="77777777" w:rsidR="00410650" w:rsidRDefault="00410650">
      <w:r>
        <w:continuationSeparator/>
      </w:r>
    </w:p>
  </w:footnote>
  <w:footnote w:id="1">
    <w:p w14:paraId="7B6F0D9D" w14:textId="77777777" w:rsidR="007E74F7" w:rsidRPr="007E74F7" w:rsidRDefault="007E74F7" w:rsidP="007E74F7">
      <w:pPr>
        <w:pStyle w:val="Notedebasdepage"/>
        <w:rPr>
          <w:rFonts w:ascii="Times New Roman" w:hAnsi="Times New Roman"/>
        </w:rPr>
      </w:pPr>
      <w:r w:rsidRPr="007E74F7">
        <w:rPr>
          <w:rStyle w:val="Appelnotedebasdep"/>
          <w:rFonts w:ascii="Times New Roman" w:hAnsi="Times New Roman"/>
        </w:rPr>
        <w:footnoteRef/>
      </w:r>
      <w:r w:rsidRPr="007E74F7">
        <w:rPr>
          <w:rFonts w:ascii="Times New Roman" w:hAnsi="Times New Roman"/>
        </w:rPr>
        <w:t xml:space="preserve"> Cass., 18 octobre 1999, </w:t>
      </w:r>
      <w:r w:rsidRPr="006A3C99">
        <w:rPr>
          <w:rFonts w:ascii="Times New Roman" w:hAnsi="Times New Roman"/>
          <w:i/>
        </w:rPr>
        <w:t>Pas.</w:t>
      </w:r>
      <w:r w:rsidRPr="007E74F7">
        <w:rPr>
          <w:rFonts w:ascii="Times New Roman" w:hAnsi="Times New Roman"/>
        </w:rPr>
        <w:t>, 1999, I, p. 539.</w:t>
      </w:r>
    </w:p>
  </w:footnote>
  <w:footnote w:id="2">
    <w:p w14:paraId="6E6A33B9" w14:textId="77777777" w:rsidR="007E74F7" w:rsidRPr="007E74F7" w:rsidRDefault="007E74F7" w:rsidP="0040084C">
      <w:pPr>
        <w:rPr>
          <w:rFonts w:cs="Times New Roman"/>
        </w:rPr>
      </w:pPr>
      <w:r w:rsidRPr="0040084C">
        <w:rPr>
          <w:rStyle w:val="Appelnotedebasdep"/>
          <w:rFonts w:cs="Times New Roman"/>
          <w:sz w:val="20"/>
          <w:szCs w:val="20"/>
        </w:rPr>
        <w:footnoteRef/>
      </w:r>
      <w:r w:rsidRPr="0040084C">
        <w:rPr>
          <w:rFonts w:cs="Times New Roman"/>
          <w:sz w:val="20"/>
          <w:szCs w:val="20"/>
        </w:rPr>
        <w:t xml:space="preserve"> </w:t>
      </w:r>
      <w:r w:rsidR="0040084C" w:rsidRPr="0040084C">
        <w:rPr>
          <w:sz w:val="20"/>
          <w:szCs w:val="20"/>
        </w:rPr>
        <w:t>CLESSE, C., L’assujettissement à la sécurité sociale des travailleurs salariés et indépendants,  p. 495.</w:t>
      </w:r>
    </w:p>
  </w:footnote>
  <w:footnote w:id="3">
    <w:p w14:paraId="7B4F2B6D" w14:textId="77777777" w:rsidR="00186A38" w:rsidRPr="007E74F7" w:rsidRDefault="00186A38" w:rsidP="00186A38">
      <w:pPr>
        <w:pStyle w:val="Notedebasdepage"/>
        <w:rPr>
          <w:rFonts w:ascii="Times New Roman" w:hAnsi="Times New Roman"/>
        </w:rPr>
      </w:pPr>
      <w:r w:rsidRPr="007E74F7">
        <w:rPr>
          <w:rStyle w:val="Appelnotedebasdep"/>
          <w:rFonts w:ascii="Times New Roman" w:hAnsi="Times New Roman"/>
        </w:rPr>
        <w:footnoteRef/>
      </w:r>
      <w:r w:rsidRPr="007E74F7">
        <w:rPr>
          <w:rFonts w:ascii="Times New Roman" w:hAnsi="Times New Roman"/>
        </w:rPr>
        <w:t xml:space="preserve"> C. trav. Mons, 14 février 2018, RG 2017/AM/275, consultable sur </w:t>
      </w:r>
      <w:hyperlink r:id="rId1" w:history="1">
        <w:r w:rsidRPr="007E74F7">
          <w:rPr>
            <w:rStyle w:val="Lienhypertexte"/>
            <w:rFonts w:ascii="Times New Roman" w:hAnsi="Times New Roman"/>
          </w:rPr>
          <w:t>www.juportal.be</w:t>
        </w:r>
      </w:hyperlink>
      <w:r w:rsidRPr="007E74F7">
        <w:rPr>
          <w:rFonts w:ascii="Times New Roman" w:hAnsi="Times New Roman"/>
        </w:rPr>
        <w:t xml:space="preserve">; </w:t>
      </w:r>
    </w:p>
  </w:footnote>
  <w:footnote w:id="4">
    <w:p w14:paraId="2741F21B" w14:textId="77777777" w:rsidR="00186A38" w:rsidRPr="009D1A49" w:rsidRDefault="00186A38" w:rsidP="00186A38">
      <w:pPr>
        <w:pStyle w:val="Notedebasdepage"/>
        <w:rPr>
          <w:lang w:val="en-GB"/>
        </w:rPr>
      </w:pPr>
      <w:r w:rsidRPr="007E74F7">
        <w:rPr>
          <w:rStyle w:val="Appelnotedebasdep"/>
          <w:rFonts w:ascii="Times New Roman" w:hAnsi="Times New Roman"/>
        </w:rPr>
        <w:footnoteRef/>
      </w:r>
      <w:r w:rsidRPr="007E74F7">
        <w:rPr>
          <w:rFonts w:ascii="Times New Roman" w:hAnsi="Times New Roman"/>
          <w:lang w:val="en-US"/>
        </w:rPr>
        <w:t xml:space="preserve"> </w:t>
      </w:r>
      <w:r w:rsidRPr="007E74F7">
        <w:rPr>
          <w:rFonts w:ascii="Times New Roman" w:hAnsi="Times New Roman"/>
          <w:lang w:val="en-GB"/>
        </w:rPr>
        <w:t>Cass., 18 octobre 1999</w:t>
      </w:r>
      <w:r w:rsidRPr="007E74F7">
        <w:rPr>
          <w:rFonts w:ascii="Times New Roman" w:hAnsi="Times New Roman"/>
          <w:i/>
          <w:lang w:val="en-GB"/>
        </w:rPr>
        <w:t>, Bull. ass</w:t>
      </w:r>
      <w:r w:rsidRPr="007E74F7">
        <w:rPr>
          <w:rFonts w:ascii="Times New Roman" w:hAnsi="Times New Roman"/>
          <w:lang w:val="en-GB"/>
        </w:rPr>
        <w:t>, 2001, n° 336, p. 454.</w:t>
      </w:r>
    </w:p>
  </w:footnote>
  <w:footnote w:id="5">
    <w:p w14:paraId="27F1B2E0" w14:textId="77777777" w:rsidR="001D35F3" w:rsidRPr="00B93B34" w:rsidRDefault="001D35F3" w:rsidP="001D35F3">
      <w:pPr>
        <w:pStyle w:val="Notedebasdepage"/>
        <w:rPr>
          <w:rFonts w:ascii="Times New Roman" w:hAnsi="Times New Roman"/>
        </w:rPr>
      </w:pPr>
      <w:r w:rsidRPr="00B93B34">
        <w:rPr>
          <w:rStyle w:val="Appelnotedebasdep"/>
          <w:rFonts w:ascii="Times New Roman" w:hAnsi="Times New Roman"/>
        </w:rPr>
        <w:footnoteRef/>
      </w:r>
      <w:r w:rsidRPr="00B93B34">
        <w:rPr>
          <w:rFonts w:ascii="Times New Roman" w:hAnsi="Times New Roman"/>
        </w:rPr>
        <w:t xml:space="preserve"> C. trav. Liège, div. Liège, 9</w:t>
      </w:r>
      <w:r w:rsidRPr="00B93B34">
        <w:rPr>
          <w:rFonts w:ascii="Times New Roman" w:hAnsi="Times New Roman"/>
          <w:vertAlign w:val="superscript"/>
        </w:rPr>
        <w:t>ième</w:t>
      </w:r>
      <w:r w:rsidRPr="00B93B34">
        <w:rPr>
          <w:rFonts w:ascii="Times New Roman" w:hAnsi="Times New Roman"/>
        </w:rPr>
        <w:t xml:space="preserve"> ch., 15 septembre 2014, RG 2013/AL/605, inédit à la connaissance du tribunal ;</w:t>
      </w:r>
    </w:p>
  </w:footnote>
  <w:footnote w:id="6">
    <w:p w14:paraId="7E6816A2" w14:textId="77777777" w:rsidR="001D35F3" w:rsidRPr="007276B3" w:rsidRDefault="001D35F3" w:rsidP="001D35F3">
      <w:pPr>
        <w:pStyle w:val="Notedebasdepage"/>
      </w:pPr>
      <w:r w:rsidRPr="00B93B34">
        <w:rPr>
          <w:rStyle w:val="Appelnotedebasdep"/>
          <w:rFonts w:ascii="Times New Roman" w:hAnsi="Times New Roman"/>
        </w:rPr>
        <w:footnoteRef/>
      </w:r>
      <w:r w:rsidRPr="00B93B34">
        <w:rPr>
          <w:rFonts w:ascii="Times New Roman" w:hAnsi="Times New Roman"/>
        </w:rPr>
        <w:t xml:space="preserve"> Cass., 12 décembre 2016, RG n° S.15.0068.F, consultable sur </w:t>
      </w:r>
      <w:hyperlink r:id="rId2" w:history="1">
        <w:r w:rsidR="00B93B34" w:rsidRPr="00771521">
          <w:rPr>
            <w:rStyle w:val="Lienhypertexte"/>
            <w:rFonts w:ascii="Times New Roman" w:hAnsi="Times New Roman"/>
          </w:rPr>
          <w:t>www.juportal.be</w:t>
        </w:r>
      </w:hyperlink>
      <w:r w:rsidRPr="00B93B34">
        <w:rPr>
          <w:rFonts w:ascii="Times New Roman" w:hAnsi="Times New Roman"/>
        </w:rPr>
        <w:t>;</w:t>
      </w:r>
      <w:r w:rsidRPr="007276B3">
        <w:t xml:space="preserve"> </w:t>
      </w:r>
    </w:p>
  </w:footnote>
  <w:footnote w:id="7">
    <w:p w14:paraId="7A394E31" w14:textId="77777777" w:rsidR="001D35F3" w:rsidRPr="003F592C" w:rsidRDefault="001D35F3" w:rsidP="001D35F3">
      <w:pPr>
        <w:pStyle w:val="Notedebasdepage"/>
        <w:rPr>
          <w:rFonts w:ascii="Times New Roman" w:hAnsi="Times New Roman"/>
        </w:rPr>
      </w:pPr>
      <w:r w:rsidRPr="007276B3">
        <w:rPr>
          <w:rStyle w:val="Appelnotedebasdep"/>
        </w:rPr>
        <w:footnoteRef/>
      </w:r>
      <w:r w:rsidRPr="007276B3">
        <w:t xml:space="preserve"> </w:t>
      </w:r>
      <w:r w:rsidRPr="003F592C">
        <w:rPr>
          <w:rFonts w:ascii="Times New Roman" w:hAnsi="Times New Roman"/>
        </w:rPr>
        <w:t>C. trav. Liège, division Liège, 3</w:t>
      </w:r>
      <w:r w:rsidRPr="003F592C">
        <w:rPr>
          <w:rFonts w:ascii="Times New Roman" w:hAnsi="Times New Roman"/>
          <w:vertAlign w:val="superscript"/>
        </w:rPr>
        <w:t>ième</w:t>
      </w:r>
      <w:r w:rsidRPr="003F592C">
        <w:rPr>
          <w:rFonts w:ascii="Times New Roman" w:hAnsi="Times New Roman"/>
        </w:rPr>
        <w:t xml:space="preserve"> ch., 1</w:t>
      </w:r>
      <w:r w:rsidRPr="003F592C">
        <w:rPr>
          <w:rFonts w:ascii="Times New Roman" w:hAnsi="Times New Roman"/>
          <w:vertAlign w:val="superscript"/>
        </w:rPr>
        <w:t>er</w:t>
      </w:r>
      <w:r w:rsidRPr="003F592C">
        <w:rPr>
          <w:rFonts w:ascii="Times New Roman" w:hAnsi="Times New Roman"/>
        </w:rPr>
        <w:t xml:space="preserve"> février 2016, RG n° 2015/AL/309, consultable sur </w:t>
      </w:r>
      <w:hyperlink r:id="rId3" w:history="1">
        <w:r w:rsidRPr="003F592C">
          <w:rPr>
            <w:rStyle w:val="Lienhypertexte"/>
            <w:rFonts w:ascii="Times New Roman" w:hAnsi="Times New Roman"/>
          </w:rPr>
          <w:t>www.terralaboris.be</w:t>
        </w:r>
      </w:hyperlink>
      <w:r w:rsidRPr="003F592C">
        <w:rPr>
          <w:rFonts w:ascii="Times New Roman" w:hAnsi="Times New Roman"/>
        </w:rPr>
        <w:t xml:space="preserve">; </w:t>
      </w:r>
    </w:p>
  </w:footnote>
  <w:footnote w:id="8">
    <w:p w14:paraId="0379AC0F" w14:textId="77777777" w:rsidR="00B93B34" w:rsidRPr="003F592C" w:rsidRDefault="00B93B34" w:rsidP="00B93B34">
      <w:pPr>
        <w:pStyle w:val="Notedebasdepage"/>
        <w:rPr>
          <w:rFonts w:ascii="Times New Roman" w:hAnsi="Times New Roman"/>
        </w:rPr>
      </w:pPr>
      <w:r w:rsidRPr="003F592C">
        <w:rPr>
          <w:rStyle w:val="Appelnotedebasdep"/>
          <w:rFonts w:ascii="Times New Roman" w:hAnsi="Times New Roman"/>
        </w:rPr>
        <w:footnoteRef/>
      </w:r>
      <w:r w:rsidR="008F000D">
        <w:rPr>
          <w:rFonts w:ascii="Times New Roman" w:hAnsi="Times New Roman"/>
        </w:rPr>
        <w:t xml:space="preserve"> . C</w:t>
      </w:r>
      <w:r w:rsidR="007C588B">
        <w:rPr>
          <w:rFonts w:ascii="Times New Roman" w:hAnsi="Times New Roman"/>
        </w:rPr>
        <w:t xml:space="preserve">. </w:t>
      </w:r>
      <w:r w:rsidR="008F000D">
        <w:rPr>
          <w:rFonts w:ascii="Times New Roman" w:hAnsi="Times New Roman"/>
        </w:rPr>
        <w:t>trav</w:t>
      </w:r>
      <w:r w:rsidRPr="003F592C">
        <w:rPr>
          <w:rFonts w:ascii="Times New Roman" w:hAnsi="Times New Roman"/>
        </w:rPr>
        <w:t>. Bruxelles, 25 juin 2007, R.G. 48.899.</w:t>
      </w:r>
    </w:p>
  </w:footnote>
  <w:footnote w:id="9">
    <w:p w14:paraId="6DCA7178" w14:textId="77777777" w:rsidR="00B93B34" w:rsidRPr="003F592C" w:rsidRDefault="00B93B34" w:rsidP="00B93B34">
      <w:pPr>
        <w:pStyle w:val="Notedebasdepage"/>
        <w:rPr>
          <w:rFonts w:ascii="Times New Roman" w:hAnsi="Times New Roman"/>
        </w:rPr>
      </w:pPr>
      <w:r w:rsidRPr="003F592C">
        <w:rPr>
          <w:rStyle w:val="Appelnotedebasdep"/>
          <w:rFonts w:ascii="Times New Roman" w:hAnsi="Times New Roman"/>
        </w:rPr>
        <w:footnoteRef/>
      </w:r>
      <w:r w:rsidRPr="003F592C">
        <w:rPr>
          <w:rFonts w:ascii="Times New Roman" w:hAnsi="Times New Roman"/>
        </w:rPr>
        <w:t xml:space="preserve"> M. DELANGE, « Le pouvoir du juge dans le droit de la sécurité sociale », </w:t>
      </w:r>
      <w:r w:rsidRPr="003F592C">
        <w:rPr>
          <w:rFonts w:ascii="Times New Roman" w:hAnsi="Times New Roman"/>
          <w:b/>
          <w:i/>
          <w:u w:val="single"/>
        </w:rPr>
        <w:t>CUP</w:t>
      </w:r>
      <w:r w:rsidRPr="003F592C">
        <w:rPr>
          <w:rFonts w:ascii="Times New Roman" w:hAnsi="Times New Roman"/>
        </w:rPr>
        <w:t>¨, volume 56, p.65 et 66.</w:t>
      </w:r>
    </w:p>
  </w:footnote>
  <w:footnote w:id="10">
    <w:p w14:paraId="0A700760" w14:textId="77777777" w:rsidR="00B93B34" w:rsidRPr="003F592C" w:rsidRDefault="00B93B34" w:rsidP="00B93B34">
      <w:pPr>
        <w:pStyle w:val="Notedebasdepage"/>
        <w:rPr>
          <w:rFonts w:ascii="Times New Roman" w:hAnsi="Times New Roman"/>
        </w:rPr>
      </w:pPr>
      <w:r w:rsidRPr="003F592C">
        <w:rPr>
          <w:rStyle w:val="Appelnotedebasdep"/>
          <w:rFonts w:ascii="Times New Roman" w:hAnsi="Times New Roman"/>
        </w:rPr>
        <w:footnoteRef/>
      </w:r>
      <w:r w:rsidR="008F000D">
        <w:rPr>
          <w:rFonts w:ascii="Times New Roman" w:hAnsi="Times New Roman"/>
        </w:rPr>
        <w:t xml:space="preserve"> C. trav</w:t>
      </w:r>
      <w:r w:rsidRPr="003F592C">
        <w:rPr>
          <w:rFonts w:ascii="Times New Roman" w:hAnsi="Times New Roman"/>
        </w:rPr>
        <w:t>. Liège (division Liège), 15 septembre 2014, RG numéro 2012/AL/537.</w:t>
      </w:r>
    </w:p>
  </w:footnote>
  <w:footnote w:id="11">
    <w:p w14:paraId="06D7AE3E" w14:textId="77777777" w:rsidR="00D90372" w:rsidRDefault="00D90372" w:rsidP="00D90372">
      <w:pPr>
        <w:pStyle w:val="Notedebasdepage"/>
      </w:pPr>
      <w:r w:rsidRPr="003F592C">
        <w:rPr>
          <w:rStyle w:val="Appelnotedebasdep"/>
          <w:rFonts w:ascii="Times New Roman" w:hAnsi="Times New Roman"/>
        </w:rPr>
        <w:footnoteRef/>
      </w:r>
      <w:r w:rsidRPr="003F592C">
        <w:rPr>
          <w:rFonts w:ascii="Times New Roman" w:hAnsi="Times New Roman"/>
        </w:rPr>
        <w:t xml:space="preserve"> C. trav. Liège, div. Liège, 05 mars 2018, RG 2016/AL/502, p. 11, </w:t>
      </w:r>
      <w:r w:rsidR="009A5D33" w:rsidRPr="003F592C">
        <w:rPr>
          <w:rFonts w:ascii="Times New Roman" w:hAnsi="Times New Roman"/>
        </w:rPr>
        <w:t xml:space="preserve">consultable sur </w:t>
      </w:r>
      <w:hyperlink r:id="rId4" w:history="1">
        <w:r w:rsidR="009A5D33" w:rsidRPr="003F592C">
          <w:rPr>
            <w:rStyle w:val="Lienhypertexte"/>
            <w:rFonts w:ascii="Times New Roman" w:hAnsi="Times New Roman"/>
          </w:rPr>
          <w:t>www.terralaboris.be</w:t>
        </w:r>
      </w:hyperlink>
      <w:r w:rsidRPr="00DD6672">
        <w:rPr>
          <w:rFonts w:ascii="Times New Roman" w:hAnsi="Times New Roman"/>
        </w:rPr>
        <w:t>.</w:t>
      </w:r>
      <w:r w:rsidR="009A5D33">
        <w:rPr>
          <w:rFonts w:ascii="Times New Roman" w:hAnsi="Times New Roman"/>
        </w:rPr>
        <w:t xml:space="preserve"> </w:t>
      </w:r>
    </w:p>
  </w:footnote>
  <w:footnote w:id="12">
    <w:p w14:paraId="1B443520" w14:textId="77777777" w:rsidR="008E0B07" w:rsidRPr="00DD6672" w:rsidRDefault="008E0B07" w:rsidP="008E0B07">
      <w:pPr>
        <w:pStyle w:val="Notedebasdepage"/>
        <w:rPr>
          <w:rFonts w:ascii="Times New Roman" w:hAnsi="Times New Roman"/>
        </w:rPr>
      </w:pPr>
      <w:r w:rsidRPr="00DD6672">
        <w:rPr>
          <w:rStyle w:val="Appelnotedebasdep"/>
          <w:rFonts w:ascii="Times New Roman" w:hAnsi="Times New Roman"/>
        </w:rPr>
        <w:footnoteRef/>
      </w:r>
      <w:r w:rsidRPr="00DD6672">
        <w:rPr>
          <w:rFonts w:ascii="Times New Roman" w:hAnsi="Times New Roman"/>
        </w:rPr>
        <w:t xml:space="preserve">  Doc. Parl. Sénat, Session 62-63, n° 237, p.8.</w:t>
      </w:r>
    </w:p>
  </w:footnote>
  <w:footnote w:id="13">
    <w:p w14:paraId="22B6D3BC" w14:textId="77777777" w:rsidR="008E0B07" w:rsidRPr="00DD6672" w:rsidRDefault="008E0B07" w:rsidP="008E0B07">
      <w:pPr>
        <w:pStyle w:val="Notedebasdepage"/>
        <w:rPr>
          <w:rFonts w:ascii="Times New Roman" w:hAnsi="Times New Roman"/>
        </w:rPr>
      </w:pPr>
      <w:r w:rsidRPr="00DD6672">
        <w:rPr>
          <w:rStyle w:val="Appelnotedebasdep"/>
          <w:rFonts w:ascii="Times New Roman" w:hAnsi="Times New Roman"/>
        </w:rPr>
        <w:footnoteRef/>
      </w:r>
      <w:r w:rsidRPr="00DD6672">
        <w:rPr>
          <w:rFonts w:ascii="Times New Roman" w:hAnsi="Times New Roman"/>
        </w:rPr>
        <w:t xml:space="preserve">  C. trav. Liège, division Liège, 1</w:t>
      </w:r>
      <w:r w:rsidRPr="00DD6672">
        <w:rPr>
          <w:rFonts w:ascii="Times New Roman" w:hAnsi="Times New Roman"/>
          <w:vertAlign w:val="superscript"/>
        </w:rPr>
        <w:t>er</w:t>
      </w:r>
      <w:r w:rsidRPr="00DD6672">
        <w:rPr>
          <w:rFonts w:ascii="Times New Roman" w:hAnsi="Times New Roman"/>
        </w:rPr>
        <w:t xml:space="preserve"> décembre 2017, RG 2016/AL/758, inédit</w:t>
      </w:r>
      <w:r w:rsidR="00D90372">
        <w:rPr>
          <w:rFonts w:ascii="Times New Roman" w:hAnsi="Times New Roman"/>
        </w:rPr>
        <w:t xml:space="preserve"> à la connaissance du tribunal</w:t>
      </w:r>
      <w:r w:rsidRPr="00DD6672">
        <w:rPr>
          <w:rFonts w:ascii="Times New Roman" w:hAnsi="Times New Roman"/>
        </w:rPr>
        <w:t>.</w:t>
      </w:r>
    </w:p>
  </w:footnote>
  <w:footnote w:id="14">
    <w:p w14:paraId="5AE5953C" w14:textId="77777777" w:rsidR="008E0B07" w:rsidRPr="00DD6672" w:rsidRDefault="008E0B07" w:rsidP="008E0B07">
      <w:pPr>
        <w:pStyle w:val="Notedebasdepage"/>
        <w:rPr>
          <w:rFonts w:ascii="Times New Roman" w:hAnsi="Times New Roman"/>
          <w:i/>
        </w:rPr>
      </w:pPr>
      <w:r w:rsidRPr="00DD6672">
        <w:rPr>
          <w:rStyle w:val="Appelnotedebasdep"/>
          <w:rFonts w:ascii="Times New Roman" w:hAnsi="Times New Roman"/>
        </w:rPr>
        <w:footnoteRef/>
      </w:r>
      <w:r w:rsidRPr="00DD6672">
        <w:rPr>
          <w:rFonts w:ascii="Times New Roman" w:hAnsi="Times New Roman"/>
        </w:rPr>
        <w:t xml:space="preserve">  C.trav. Mons, 25 février 2008, RG 19094, consultable sur </w:t>
      </w:r>
      <w:hyperlink r:id="rId5" w:history="1">
        <w:r w:rsidRPr="00DD6672">
          <w:rPr>
            <w:rStyle w:val="Lienhypertexte"/>
            <w:rFonts w:ascii="Times New Roman" w:hAnsi="Times New Roman"/>
          </w:rPr>
          <w:t>www.terralaboris.be</w:t>
        </w:r>
      </w:hyperlink>
      <w:r w:rsidRPr="00DD6672">
        <w:rPr>
          <w:rFonts w:ascii="Times New Roman" w:hAnsi="Times New Roman"/>
        </w:rPr>
        <w:t xml:space="preserve">; C. trav. Bruxelles, le 11 juillet 2017, RG 2016/AB/154, consultable sur </w:t>
      </w:r>
      <w:hyperlink r:id="rId6" w:history="1">
        <w:r w:rsidRPr="00DD6672">
          <w:rPr>
            <w:rStyle w:val="Lienhypertexte"/>
            <w:rFonts w:ascii="Times New Roman" w:hAnsi="Times New Roman"/>
          </w:rPr>
          <w:t>www.terralaboris.be</w:t>
        </w:r>
      </w:hyperlink>
      <w:r w:rsidRPr="00DD6672">
        <w:rPr>
          <w:rFonts w:ascii="Times New Roman" w:hAnsi="Times New Roman"/>
        </w:rPr>
        <w:t xml:space="preserve">. </w:t>
      </w:r>
    </w:p>
  </w:footnote>
  <w:footnote w:id="15">
    <w:p w14:paraId="349AF2A5" w14:textId="77777777" w:rsidR="00D90372" w:rsidRPr="00833896" w:rsidRDefault="00D90372" w:rsidP="00D90372">
      <w:pPr>
        <w:pStyle w:val="Notedebasdepage"/>
        <w:rPr>
          <w:lang w:val="fr-BE"/>
        </w:rPr>
      </w:pPr>
      <w:r w:rsidRPr="003474A7">
        <w:rPr>
          <w:rStyle w:val="Appelnotedebasdep"/>
          <w:rFonts w:ascii="Times New Roman" w:hAnsi="Times New Roman"/>
        </w:rPr>
        <w:footnoteRef/>
      </w:r>
      <w:r w:rsidRPr="003474A7">
        <w:rPr>
          <w:rFonts w:ascii="Times New Roman" w:hAnsi="Times New Roman"/>
          <w:lang w:val="fr-BE"/>
        </w:rPr>
        <w:t xml:space="preserve"> C. trav. Liège, 3</w:t>
      </w:r>
      <w:r w:rsidRPr="003474A7">
        <w:rPr>
          <w:rFonts w:ascii="Times New Roman" w:hAnsi="Times New Roman"/>
          <w:vertAlign w:val="superscript"/>
          <w:lang w:val="fr-BE"/>
        </w:rPr>
        <w:t>ième</w:t>
      </w:r>
      <w:r w:rsidRPr="003474A7">
        <w:rPr>
          <w:rFonts w:ascii="Times New Roman" w:hAnsi="Times New Roman"/>
          <w:lang w:val="fr-BE"/>
        </w:rPr>
        <w:t xml:space="preserve"> ch, 6 février 2017, RG 2015/AL/512, consultable sur </w:t>
      </w:r>
      <w:hyperlink r:id="rId7" w:history="1">
        <w:r w:rsidR="007570E8" w:rsidRPr="00DD75A8">
          <w:rPr>
            <w:rStyle w:val="Lienhypertexte"/>
            <w:rFonts w:ascii="Times New Roman" w:hAnsi="Times New Roman"/>
            <w:lang w:val="fr-BE"/>
          </w:rPr>
          <w:t>www.juportal.be</w:t>
        </w:r>
      </w:hyperlink>
      <w:r>
        <w:rPr>
          <w:rFonts w:ascii="Times New Roman" w:hAnsi="Times New Roman"/>
          <w:lang w:val="fr-BE"/>
        </w:rPr>
        <w:t>.</w:t>
      </w:r>
    </w:p>
  </w:footnote>
  <w:footnote w:id="16">
    <w:p w14:paraId="375B613C" w14:textId="77777777" w:rsidR="00550661" w:rsidRPr="003474A7" w:rsidRDefault="00D90372" w:rsidP="00D90372">
      <w:pPr>
        <w:pStyle w:val="Notedebasdepage"/>
        <w:rPr>
          <w:rFonts w:ascii="Times New Roman" w:hAnsi="Times New Roman"/>
          <w:lang w:val="fr-BE"/>
        </w:rPr>
      </w:pPr>
      <w:r w:rsidRPr="003474A7">
        <w:rPr>
          <w:rStyle w:val="Appelnotedebasdep"/>
          <w:rFonts w:ascii="Times New Roman" w:hAnsi="Times New Roman"/>
        </w:rPr>
        <w:footnoteRef/>
      </w:r>
      <w:r w:rsidRPr="003474A7">
        <w:rPr>
          <w:rFonts w:ascii="Times New Roman" w:hAnsi="Times New Roman"/>
        </w:rPr>
        <w:t xml:space="preserve"> </w:t>
      </w:r>
      <w:r w:rsidRPr="003474A7">
        <w:rPr>
          <w:rFonts w:ascii="Times New Roman" w:hAnsi="Times New Roman"/>
          <w:lang w:val="fr-BE"/>
        </w:rPr>
        <w:t xml:space="preserve">C. trav. Liège, division Liège, 5 mars 2018, RG 2017/AL/121, inédit citant S. REMOUCHAMPS, « La preuve en accident du travail et en maladie professionnelle », </w:t>
      </w:r>
      <w:r w:rsidRPr="003474A7">
        <w:rPr>
          <w:rFonts w:ascii="Times New Roman" w:hAnsi="Times New Roman"/>
          <w:i/>
          <w:lang w:val="fr-BE"/>
        </w:rPr>
        <w:t>R.D.S.</w:t>
      </w:r>
      <w:r w:rsidRPr="003474A7">
        <w:rPr>
          <w:rFonts w:ascii="Times New Roman" w:hAnsi="Times New Roman"/>
          <w:lang w:val="fr-BE"/>
        </w:rPr>
        <w:t>, 2013, p 493 ; C. trav. Liège, division Liège, 5 mars 2018, RG 2016/AL/502,</w:t>
      </w:r>
      <w:r w:rsidR="00550661">
        <w:rPr>
          <w:rFonts w:ascii="Times New Roman" w:hAnsi="Times New Roman"/>
          <w:lang w:val="fr-BE"/>
        </w:rPr>
        <w:t xml:space="preserve"> consultable sur </w:t>
      </w:r>
      <w:hyperlink r:id="rId8" w:history="1">
        <w:r w:rsidR="00BC6E3E" w:rsidRPr="003508D1">
          <w:rPr>
            <w:rStyle w:val="Lienhypertexte"/>
            <w:rFonts w:ascii="Times New Roman" w:hAnsi="Times New Roman"/>
            <w:lang w:val="fr-BE"/>
          </w:rPr>
          <w:t>www.terralaboris.be</w:t>
        </w:r>
      </w:hyperlink>
      <w:r w:rsidR="00550661">
        <w:rPr>
          <w:rFonts w:ascii="Times New Roman" w:hAnsi="Times New Roman"/>
          <w:lang w:val="fr-BE"/>
        </w:rPr>
        <w:t>.</w:t>
      </w:r>
      <w:r w:rsidR="00BC6E3E">
        <w:rPr>
          <w:rFonts w:ascii="Times New Roman" w:hAnsi="Times New Roman"/>
          <w:lang w:val="fr-BE"/>
        </w:rPr>
        <w:t xml:space="preserve"> </w:t>
      </w:r>
    </w:p>
  </w:footnote>
  <w:footnote w:id="17">
    <w:p w14:paraId="47AE049A" w14:textId="77777777" w:rsidR="008E0B07" w:rsidRPr="00DD6672" w:rsidRDefault="008E0B07" w:rsidP="008E0B07">
      <w:pPr>
        <w:pStyle w:val="Notedebasdepage"/>
        <w:rPr>
          <w:rFonts w:ascii="Times New Roman" w:hAnsi="Times New Roman"/>
        </w:rPr>
      </w:pPr>
      <w:r w:rsidRPr="00DD6672">
        <w:rPr>
          <w:rStyle w:val="Appelnotedebasdep"/>
          <w:rFonts w:ascii="Times New Roman" w:hAnsi="Times New Roman"/>
        </w:rPr>
        <w:footnoteRef/>
      </w:r>
      <w:r w:rsidRPr="00DD6672">
        <w:rPr>
          <w:rFonts w:ascii="Times New Roman" w:hAnsi="Times New Roman"/>
        </w:rPr>
        <w:t xml:space="preserve"> C. trav. Mons, 19 mars 2014, </w:t>
      </w:r>
      <w:r w:rsidRPr="00DD6672">
        <w:rPr>
          <w:rFonts w:ascii="Times New Roman" w:hAnsi="Times New Roman"/>
          <w:iCs/>
          <w:szCs w:val="24"/>
        </w:rPr>
        <w:t xml:space="preserve">RG n° 2012/AB/692, consultable sur </w:t>
      </w:r>
      <w:hyperlink r:id="rId9" w:history="1">
        <w:r w:rsidR="00874493" w:rsidRPr="00DD75A8">
          <w:rPr>
            <w:rStyle w:val="Lienhypertexte"/>
            <w:rFonts w:ascii="Times New Roman" w:hAnsi="Times New Roman"/>
            <w:iCs/>
            <w:szCs w:val="24"/>
          </w:rPr>
          <w:t>www.juportal.be</w:t>
        </w:r>
      </w:hyperlink>
      <w:r w:rsidRPr="00DD6672">
        <w:rPr>
          <w:rFonts w:ascii="Times New Roman" w:hAnsi="Times New Roman"/>
          <w:iCs/>
          <w:szCs w:val="24"/>
        </w:rPr>
        <w:t>.</w:t>
      </w:r>
    </w:p>
  </w:footnote>
  <w:footnote w:id="18">
    <w:p w14:paraId="79F35E8F" w14:textId="77777777" w:rsidR="00D90372" w:rsidRPr="003474A7" w:rsidRDefault="00D90372" w:rsidP="00D90372">
      <w:pPr>
        <w:pStyle w:val="Notedebasdepage"/>
        <w:rPr>
          <w:rFonts w:ascii="Times New Roman" w:hAnsi="Times New Roman"/>
          <w:lang w:val="fr-BE"/>
        </w:rPr>
      </w:pPr>
      <w:r w:rsidRPr="003474A7">
        <w:rPr>
          <w:rStyle w:val="Appelnotedebasdep"/>
          <w:rFonts w:ascii="Times New Roman" w:hAnsi="Times New Roman"/>
        </w:rPr>
        <w:footnoteRef/>
      </w:r>
      <w:r w:rsidRPr="003474A7">
        <w:rPr>
          <w:rFonts w:ascii="Times New Roman" w:hAnsi="Times New Roman"/>
          <w:lang w:val="fr-BE"/>
        </w:rPr>
        <w:t xml:space="preserve"> C. trav. Liège, 3</w:t>
      </w:r>
      <w:r w:rsidRPr="003474A7">
        <w:rPr>
          <w:rFonts w:ascii="Times New Roman" w:hAnsi="Times New Roman"/>
          <w:vertAlign w:val="superscript"/>
          <w:lang w:val="fr-BE"/>
        </w:rPr>
        <w:t>ième</w:t>
      </w:r>
      <w:r w:rsidRPr="003474A7">
        <w:rPr>
          <w:rFonts w:ascii="Times New Roman" w:hAnsi="Times New Roman"/>
          <w:lang w:val="fr-BE"/>
        </w:rPr>
        <w:t xml:space="preserve"> ch, 3 février 2017, RG 2016/AL/204, inédit ;  C. trav. Mons, 8</w:t>
      </w:r>
      <w:r w:rsidRPr="003474A7">
        <w:rPr>
          <w:rFonts w:ascii="Times New Roman" w:hAnsi="Times New Roman"/>
          <w:vertAlign w:val="superscript"/>
          <w:lang w:val="fr-BE"/>
        </w:rPr>
        <w:t>ième</w:t>
      </w:r>
      <w:r w:rsidRPr="003474A7">
        <w:rPr>
          <w:rFonts w:ascii="Times New Roman" w:hAnsi="Times New Roman"/>
          <w:lang w:val="fr-BE"/>
        </w:rPr>
        <w:t xml:space="preserve"> ch., 27 janvier 2016, RG 2015/AM/79, consultable sur </w:t>
      </w:r>
      <w:hyperlink r:id="rId10" w:history="1">
        <w:r w:rsidRPr="003474A7">
          <w:rPr>
            <w:rStyle w:val="Lienhypertexte"/>
            <w:rFonts w:ascii="Times New Roman" w:hAnsi="Times New Roman"/>
            <w:lang w:val="fr-BE"/>
          </w:rPr>
          <w:t>www.terralaboris.be</w:t>
        </w:r>
      </w:hyperlink>
      <w:r w:rsidRPr="003474A7">
        <w:rPr>
          <w:rFonts w:ascii="Times New Roman" w:hAnsi="Times New Roman"/>
          <w:lang w:val="fr-BE"/>
        </w:rPr>
        <w:t xml:space="preserve"> et C. trav. Bruxelles, 19 mars 2014, RG  2012/AB/692, consultable sur </w:t>
      </w:r>
      <w:hyperlink r:id="rId11" w:history="1">
        <w:r w:rsidRPr="003474A7">
          <w:rPr>
            <w:rStyle w:val="Lienhypertexte"/>
            <w:rFonts w:ascii="Times New Roman" w:hAnsi="Times New Roman"/>
            <w:lang w:val="fr-BE"/>
          </w:rPr>
          <w:t>www.terralaboris.be</w:t>
        </w:r>
      </w:hyperlink>
      <w:r>
        <w:rPr>
          <w:rFonts w:ascii="Times New Roman" w:hAnsi="Times New Roman"/>
          <w:lang w:val="fr-BE"/>
        </w:rPr>
        <w:t>.</w:t>
      </w:r>
    </w:p>
  </w:footnote>
  <w:footnote w:id="19">
    <w:p w14:paraId="087F9342" w14:textId="77777777" w:rsidR="008E0B07" w:rsidRPr="00DD6672" w:rsidRDefault="008E0B07" w:rsidP="008E0B07">
      <w:pPr>
        <w:pStyle w:val="Notedebasdepage"/>
        <w:rPr>
          <w:rFonts w:ascii="Times New Roman" w:hAnsi="Times New Roman"/>
        </w:rPr>
      </w:pPr>
      <w:r w:rsidRPr="00DD6672">
        <w:rPr>
          <w:rStyle w:val="Appelnotedebasdep"/>
          <w:rFonts w:ascii="Times New Roman" w:hAnsi="Times New Roman"/>
        </w:rPr>
        <w:footnoteRef/>
      </w:r>
      <w:r w:rsidRPr="00DD6672">
        <w:rPr>
          <w:rFonts w:ascii="Times New Roman" w:hAnsi="Times New Roman"/>
        </w:rPr>
        <w:t xml:space="preserve"> C. trav. Liège, div. Liège, Chambre 3 E, 13 décembre 2019, RG 2019/AL/125, inédit</w:t>
      </w:r>
      <w:r w:rsidR="00D90372">
        <w:rPr>
          <w:rFonts w:ascii="Times New Roman" w:hAnsi="Times New Roman"/>
        </w:rPr>
        <w:t xml:space="preserve"> à la connaissance du tribunal</w:t>
      </w:r>
      <w:r w:rsidRPr="00DD6672">
        <w:rPr>
          <w:rFonts w:ascii="Times New Roman" w:hAnsi="Times New Roman"/>
        </w:rPr>
        <w:t>.</w:t>
      </w:r>
    </w:p>
  </w:footnote>
  <w:footnote w:id="20">
    <w:p w14:paraId="2140EF78" w14:textId="77777777" w:rsidR="002C0DC1" w:rsidRDefault="008E0B07" w:rsidP="008E0B07">
      <w:pPr>
        <w:pStyle w:val="Notedebasdepage"/>
        <w:tabs>
          <w:tab w:val="left" w:pos="284"/>
        </w:tabs>
        <w:ind w:left="284" w:hanging="284"/>
        <w:jc w:val="both"/>
        <w:rPr>
          <w:rFonts w:ascii="Times New Roman" w:hAnsi="Times New Roman"/>
        </w:rPr>
      </w:pPr>
      <w:r w:rsidRPr="00DD6672">
        <w:rPr>
          <w:rStyle w:val="Appelnotedebasdep"/>
          <w:rFonts w:ascii="Times New Roman" w:hAnsi="Times New Roman"/>
        </w:rPr>
        <w:footnoteRef/>
      </w:r>
      <w:r w:rsidRPr="00DD6672">
        <w:rPr>
          <w:rFonts w:ascii="Times New Roman" w:hAnsi="Times New Roman"/>
        </w:rPr>
        <w:t xml:space="preserve"> </w:t>
      </w:r>
      <w:r w:rsidRPr="00DD6672">
        <w:rPr>
          <w:rFonts w:ascii="Times New Roman" w:hAnsi="Times New Roman"/>
        </w:rPr>
        <w:tab/>
        <w:t>Projet de loi portant des dispositions diverses en matière de maladies professionnelles et d’accidents du</w:t>
      </w:r>
    </w:p>
    <w:p w14:paraId="532F93AD" w14:textId="77777777" w:rsidR="008E0B07" w:rsidRPr="00DD6672" w:rsidRDefault="008E0B07" w:rsidP="008E0B07">
      <w:pPr>
        <w:pStyle w:val="Notedebasdepage"/>
        <w:tabs>
          <w:tab w:val="left" w:pos="284"/>
        </w:tabs>
        <w:ind w:left="284" w:hanging="284"/>
        <w:jc w:val="both"/>
        <w:rPr>
          <w:rFonts w:ascii="Times New Roman" w:hAnsi="Times New Roman"/>
        </w:rPr>
      </w:pPr>
      <w:r w:rsidRPr="00DD6672">
        <w:rPr>
          <w:rFonts w:ascii="Times New Roman" w:hAnsi="Times New Roman"/>
        </w:rPr>
        <w:t xml:space="preserve">travail, Exposé des motifs, </w:t>
      </w:r>
      <w:r w:rsidRPr="00DD6672">
        <w:rPr>
          <w:rFonts w:ascii="Times New Roman" w:hAnsi="Times New Roman"/>
          <w:i/>
        </w:rPr>
        <w:t>Doc. Parl.</w:t>
      </w:r>
      <w:r w:rsidRPr="00DD6672">
        <w:rPr>
          <w:rFonts w:ascii="Times New Roman" w:hAnsi="Times New Roman"/>
        </w:rPr>
        <w:t>, Ch., 2003-2004, n°51-1334/1, p. 16.</w:t>
      </w:r>
    </w:p>
  </w:footnote>
  <w:footnote w:id="21">
    <w:p w14:paraId="63413FD1" w14:textId="77777777" w:rsidR="008E0B07" w:rsidRPr="00DD6672" w:rsidRDefault="008E0B07" w:rsidP="008E0B07">
      <w:pPr>
        <w:pStyle w:val="Notedebasdepage"/>
        <w:tabs>
          <w:tab w:val="left" w:pos="284"/>
        </w:tabs>
        <w:jc w:val="both"/>
        <w:rPr>
          <w:rFonts w:ascii="Times New Roman" w:hAnsi="Times New Roman"/>
          <w:sz w:val="18"/>
          <w:szCs w:val="18"/>
        </w:rPr>
      </w:pPr>
      <w:r w:rsidRPr="00DD6672">
        <w:rPr>
          <w:rStyle w:val="Appelnotedebasdep"/>
          <w:rFonts w:ascii="Times New Roman" w:hAnsi="Times New Roman"/>
        </w:rPr>
        <w:footnoteRef/>
      </w:r>
      <w:r w:rsidRPr="00DD6672">
        <w:rPr>
          <w:rFonts w:ascii="Times New Roman" w:hAnsi="Times New Roman"/>
        </w:rPr>
        <w:t xml:space="preserve"> </w:t>
      </w:r>
      <w:r w:rsidRPr="00DD6672">
        <w:rPr>
          <w:rFonts w:ascii="Times New Roman" w:hAnsi="Times New Roman"/>
        </w:rPr>
        <w:tab/>
        <w:t>C. trav. Mons, 27 janvier 2016, R.G. 2015/AM/79,</w:t>
      </w:r>
      <w:r w:rsidR="002C0DC1">
        <w:rPr>
          <w:rFonts w:ascii="Times New Roman" w:hAnsi="Times New Roman"/>
        </w:rPr>
        <w:t xml:space="preserve"> consultable sur</w:t>
      </w:r>
      <w:r w:rsidRPr="00DD6672">
        <w:rPr>
          <w:rFonts w:ascii="Times New Roman" w:hAnsi="Times New Roman"/>
        </w:rPr>
        <w:t xml:space="preserve"> </w:t>
      </w:r>
      <w:hyperlink r:id="rId12" w:history="1">
        <w:r w:rsidR="00D90372" w:rsidRPr="003508D1">
          <w:rPr>
            <w:rStyle w:val="Lienhypertexte"/>
            <w:rFonts w:ascii="Times New Roman" w:hAnsi="Times New Roman"/>
          </w:rPr>
          <w:t>www.terralaboris.be</w:t>
        </w:r>
      </w:hyperlink>
      <w:r w:rsidRPr="00DD6672">
        <w:rPr>
          <w:rFonts w:ascii="Times New Roman" w:hAnsi="Times New Roman"/>
        </w:rPr>
        <w:t>.</w:t>
      </w:r>
      <w:r w:rsidR="00D90372">
        <w:rPr>
          <w:rFonts w:ascii="Times New Roman" w:hAnsi="Times New Roman"/>
        </w:rPr>
        <w:t xml:space="preserve"> </w:t>
      </w:r>
    </w:p>
  </w:footnote>
  <w:footnote w:id="22">
    <w:p w14:paraId="593A2B50" w14:textId="77777777" w:rsidR="00FE52EF" w:rsidRPr="00662D8F" w:rsidRDefault="00FE52EF" w:rsidP="00302E61">
      <w:pPr>
        <w:pStyle w:val="Notedebasdepage"/>
        <w:rPr>
          <w:rFonts w:ascii="Times New Roman" w:hAnsi="Times New Roman"/>
        </w:rPr>
      </w:pPr>
      <w:r w:rsidRPr="003474A7">
        <w:rPr>
          <w:rStyle w:val="Appelnotedebasdep"/>
          <w:rFonts w:ascii="Times New Roman" w:hAnsi="Times New Roman"/>
        </w:rPr>
        <w:footnoteRef/>
      </w:r>
      <w:r w:rsidRPr="003474A7">
        <w:rPr>
          <w:rFonts w:ascii="Times New Roman" w:hAnsi="Times New Roman"/>
        </w:rPr>
        <w:t xml:space="preserve"> C. trav. Liège (sect. Liège), 28 juin 2000, </w:t>
      </w:r>
      <w:r>
        <w:rPr>
          <w:rFonts w:ascii="Times New Roman" w:hAnsi="Times New Roman"/>
        </w:rPr>
        <w:t xml:space="preserve">RG 99/28084, </w:t>
      </w:r>
      <w:r w:rsidR="00C01CF1">
        <w:rPr>
          <w:rFonts w:ascii="Times New Roman" w:hAnsi="Times New Roman"/>
        </w:rPr>
        <w:t xml:space="preserve">consultable sur </w:t>
      </w:r>
      <w:hyperlink r:id="rId13" w:history="1">
        <w:r w:rsidR="00541FE6" w:rsidRPr="00DD75A8">
          <w:rPr>
            <w:rStyle w:val="Lienhypertexte"/>
            <w:rFonts w:ascii="Times New Roman" w:hAnsi="Times New Roman"/>
          </w:rPr>
          <w:t>www.juportal.be</w:t>
        </w:r>
      </w:hyperlink>
      <w:r w:rsidRPr="003474A7">
        <w:rPr>
          <w:rFonts w:ascii="Times New Roman" w:hAnsi="Times New Roman"/>
        </w:rPr>
        <w:t>.</w:t>
      </w:r>
    </w:p>
  </w:footnote>
  <w:footnote w:id="23">
    <w:p w14:paraId="279C759B" w14:textId="77777777" w:rsidR="00C01CF1" w:rsidRPr="00C01CF1" w:rsidRDefault="00C01CF1">
      <w:pPr>
        <w:pStyle w:val="Notedebasdepage"/>
        <w:rPr>
          <w:rFonts w:ascii="Times New Roman" w:hAnsi="Times New Roman"/>
          <w:lang w:val="fr-BE"/>
        </w:rPr>
      </w:pPr>
      <w:r w:rsidRPr="00C01CF1">
        <w:rPr>
          <w:rStyle w:val="Appelnotedebasdep"/>
          <w:rFonts w:ascii="Times New Roman" w:hAnsi="Times New Roman"/>
        </w:rPr>
        <w:footnoteRef/>
      </w:r>
      <w:r w:rsidRPr="00C01CF1">
        <w:rPr>
          <w:rFonts w:ascii="Times New Roman" w:hAnsi="Times New Roman"/>
        </w:rPr>
        <w:t xml:space="preserve"> </w:t>
      </w:r>
      <w:r>
        <w:rPr>
          <w:rFonts w:ascii="Times New Roman" w:hAnsi="Times New Roman"/>
        </w:rPr>
        <w:t>C. trav. Liège, div. Liège, 19 mai 2020, RG 2019/AL/303, inédit </w:t>
      </w:r>
      <w:r w:rsidR="000A7D44">
        <w:rPr>
          <w:rFonts w:ascii="Times New Roman" w:hAnsi="Times New Roman"/>
        </w:rPr>
        <w:t>à la connaissance du tribunal</w:t>
      </w:r>
      <w:r>
        <w:rPr>
          <w:rFonts w:ascii="Times New Roman" w:hAnsi="Times New Roman"/>
        </w:rPr>
        <w:t>;</w:t>
      </w:r>
    </w:p>
  </w:footnote>
  <w:footnote w:id="24">
    <w:p w14:paraId="3858711C" w14:textId="77777777" w:rsidR="00C01CF1" w:rsidRPr="00E05BF1" w:rsidRDefault="00C01CF1">
      <w:pPr>
        <w:pStyle w:val="Notedebasdepage"/>
        <w:rPr>
          <w:rFonts w:ascii="Times New Roman" w:hAnsi="Times New Roman"/>
          <w:lang w:val="fr-BE"/>
        </w:rPr>
      </w:pPr>
      <w:r w:rsidRPr="00E05BF1">
        <w:rPr>
          <w:rStyle w:val="Appelnotedebasdep"/>
          <w:rFonts w:ascii="Times New Roman" w:hAnsi="Times New Roman"/>
        </w:rPr>
        <w:footnoteRef/>
      </w:r>
      <w:r w:rsidR="00BD5918" w:rsidRPr="00E05BF1">
        <w:rPr>
          <w:rFonts w:ascii="Times New Roman" w:hAnsi="Times New Roman"/>
        </w:rPr>
        <w:t xml:space="preserve"> </w:t>
      </w:r>
      <w:r w:rsidRPr="00E05BF1">
        <w:rPr>
          <w:rFonts w:ascii="Times New Roman" w:hAnsi="Times New Roman"/>
        </w:rPr>
        <w:t>C. trav. Liège, div. Liège, 19 mai 2020, RG 2019/AL/303, inédit </w:t>
      </w:r>
      <w:r w:rsidR="000A7D44">
        <w:rPr>
          <w:rFonts w:ascii="Times New Roman" w:hAnsi="Times New Roman"/>
        </w:rPr>
        <w:t>à la connaissance du tribunal</w:t>
      </w:r>
      <w:r w:rsidRPr="00E05BF1">
        <w:rPr>
          <w:rFonts w:ascii="Times New Roman" w:hAnsi="Times New Roman"/>
        </w:rPr>
        <w:t>;</w:t>
      </w:r>
    </w:p>
  </w:footnote>
  <w:footnote w:id="25">
    <w:p w14:paraId="33F802AF" w14:textId="77777777" w:rsidR="00DF4C51" w:rsidRPr="00DF4C51" w:rsidRDefault="00DF4C51" w:rsidP="00DF4C51">
      <w:pPr>
        <w:pStyle w:val="Notedebasdepage"/>
        <w:rPr>
          <w:rFonts w:ascii="Times New Roman" w:hAnsi="Times New Roman"/>
        </w:rPr>
      </w:pPr>
      <w:r w:rsidRPr="00DF4C51">
        <w:rPr>
          <w:rStyle w:val="Appelnotedebasdep"/>
          <w:rFonts w:ascii="Times New Roman" w:hAnsi="Times New Roman"/>
        </w:rPr>
        <w:footnoteRef/>
      </w:r>
      <w:r w:rsidRPr="00DF4C51">
        <w:rPr>
          <w:rFonts w:ascii="Times New Roman" w:hAnsi="Times New Roman"/>
        </w:rPr>
        <w:t xml:space="preserve"> C. trav. Bruxelles, 3 mars 2021, RG 2020/AB/641, consultable sur </w:t>
      </w:r>
      <w:hyperlink r:id="rId14" w:history="1">
        <w:r w:rsidRPr="00DF4C51">
          <w:rPr>
            <w:rStyle w:val="Lienhypertexte"/>
            <w:rFonts w:ascii="Times New Roman" w:hAnsi="Times New Roman"/>
          </w:rPr>
          <w:t>www.terralaboris.be</w:t>
        </w:r>
      </w:hyperlink>
      <w:r w:rsidRPr="00DF4C51">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03D6" w14:textId="77777777" w:rsidR="00FE52EF" w:rsidRPr="00C60347" w:rsidRDefault="00FE52EF" w:rsidP="00891A96">
    <w:pPr>
      <w:pStyle w:val="En-tte"/>
      <w:jc w:val="center"/>
      <w:rPr>
        <w:rFonts w:cs="Times New Roman"/>
        <w:b/>
        <w:sz w:val="16"/>
        <w:szCs w:val="16"/>
        <w:lang w:val="nl-NL"/>
      </w:rPr>
    </w:pPr>
    <w:r w:rsidRPr="00C60347">
      <w:rPr>
        <w:rFonts w:cs="Times New Roman"/>
        <w:b/>
        <w:sz w:val="16"/>
        <w:szCs w:val="16"/>
        <w:lang w:val="nl-NL"/>
      </w:rPr>
      <w:t xml:space="preserve"> Page n°</w:t>
    </w:r>
    <w:sdt>
      <w:sdtPr>
        <w:rPr>
          <w:rFonts w:cs="Times New Roman"/>
          <w:b/>
          <w:sz w:val="16"/>
          <w:szCs w:val="16"/>
        </w:rPr>
        <w:id w:val="1835185401"/>
        <w:docPartObj>
          <w:docPartGallery w:val="Page Numbers (Top of Page)"/>
          <w:docPartUnique/>
        </w:docPartObj>
      </w:sdtPr>
      <w:sdtEndPr/>
      <w:sdtContent>
        <w:r w:rsidRPr="00C60347">
          <w:rPr>
            <w:rFonts w:cs="Times New Roman"/>
            <w:b/>
            <w:sz w:val="16"/>
            <w:szCs w:val="16"/>
          </w:rPr>
          <w:fldChar w:fldCharType="begin"/>
        </w:r>
        <w:r w:rsidRPr="00C60347">
          <w:rPr>
            <w:rFonts w:cs="Times New Roman"/>
            <w:b/>
            <w:sz w:val="16"/>
            <w:szCs w:val="16"/>
            <w:lang w:val="nl-NL"/>
          </w:rPr>
          <w:instrText>PAGE   \* MERGEFORMAT</w:instrText>
        </w:r>
        <w:r w:rsidRPr="00C60347">
          <w:rPr>
            <w:rFonts w:cs="Times New Roman"/>
            <w:b/>
            <w:sz w:val="16"/>
            <w:szCs w:val="16"/>
          </w:rPr>
          <w:fldChar w:fldCharType="separate"/>
        </w:r>
        <w:r w:rsidR="00EF729F">
          <w:rPr>
            <w:rFonts w:cs="Times New Roman"/>
            <w:b/>
            <w:noProof/>
            <w:sz w:val="16"/>
            <w:szCs w:val="16"/>
            <w:lang w:val="nl-NL"/>
          </w:rPr>
          <w:t>20</w:t>
        </w:r>
        <w:r w:rsidRPr="00C60347">
          <w:rPr>
            <w:rFonts w:cs="Times New Roman"/>
            <w:b/>
            <w:sz w:val="16"/>
            <w:szCs w:val="16"/>
          </w:rPr>
          <w:fldChar w:fldCharType="end"/>
        </w:r>
      </w:sdtContent>
    </w:sdt>
  </w:p>
  <w:p w14:paraId="520CEFC6" w14:textId="77777777" w:rsidR="00FE52EF" w:rsidRPr="00F77CA8" w:rsidRDefault="00FE52EF"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73"/>
    <w:multiLevelType w:val="hybridMultilevel"/>
    <w:tmpl w:val="D62045AA"/>
    <w:lvl w:ilvl="0" w:tplc="006A1AAE">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51488F"/>
    <w:multiLevelType w:val="hybridMultilevel"/>
    <w:tmpl w:val="187A4AD2"/>
    <w:lvl w:ilvl="0" w:tplc="6BFE55CE">
      <w:start w:val="2"/>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D62EF"/>
    <w:multiLevelType w:val="multilevel"/>
    <w:tmpl w:val="E7288E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9215CD"/>
    <w:multiLevelType w:val="hybridMultilevel"/>
    <w:tmpl w:val="D9D2E5E6"/>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507C7B"/>
    <w:multiLevelType w:val="hybridMultilevel"/>
    <w:tmpl w:val="61765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0067F"/>
    <w:multiLevelType w:val="hybridMultilevel"/>
    <w:tmpl w:val="74DC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D389A"/>
    <w:multiLevelType w:val="hybridMultilevel"/>
    <w:tmpl w:val="73A4FE94"/>
    <w:lvl w:ilvl="0" w:tplc="C466FEFA">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C05FEA"/>
    <w:multiLevelType w:val="hybridMultilevel"/>
    <w:tmpl w:val="76DC4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239FD"/>
    <w:multiLevelType w:val="hybridMultilevel"/>
    <w:tmpl w:val="D3088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B334B"/>
    <w:multiLevelType w:val="hybridMultilevel"/>
    <w:tmpl w:val="AA449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54761"/>
    <w:multiLevelType w:val="hybridMultilevel"/>
    <w:tmpl w:val="47D2A99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1" w15:restartNumberingAfterBreak="0">
    <w:nsid w:val="263860FE"/>
    <w:multiLevelType w:val="singleLevel"/>
    <w:tmpl w:val="968058FC"/>
    <w:lvl w:ilvl="0">
      <w:numFmt w:val="bullet"/>
      <w:lvlText w:val="-"/>
      <w:lvlJc w:val="left"/>
      <w:pPr>
        <w:tabs>
          <w:tab w:val="num" w:pos="360"/>
        </w:tabs>
        <w:ind w:left="360" w:hanging="360"/>
      </w:pPr>
      <w:rPr>
        <w:rFonts w:hint="default"/>
      </w:rPr>
    </w:lvl>
  </w:abstractNum>
  <w:abstractNum w:abstractNumId="12" w15:restartNumberingAfterBreak="0">
    <w:nsid w:val="26EA292E"/>
    <w:multiLevelType w:val="hybridMultilevel"/>
    <w:tmpl w:val="13061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96C5B"/>
    <w:multiLevelType w:val="hybridMultilevel"/>
    <w:tmpl w:val="B290E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421CC"/>
    <w:multiLevelType w:val="hybridMultilevel"/>
    <w:tmpl w:val="3EF0C99E"/>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756CE8"/>
    <w:multiLevelType w:val="hybridMultilevel"/>
    <w:tmpl w:val="0F0E019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F705E42"/>
    <w:multiLevelType w:val="singleLevel"/>
    <w:tmpl w:val="992A4F2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EA55FA9"/>
    <w:multiLevelType w:val="hybridMultilevel"/>
    <w:tmpl w:val="31781B7E"/>
    <w:lvl w:ilvl="0" w:tplc="69D2F67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902806"/>
    <w:multiLevelType w:val="hybridMultilevel"/>
    <w:tmpl w:val="E5AE0404"/>
    <w:lvl w:ilvl="0" w:tplc="5C908590">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8E042BE"/>
    <w:multiLevelType w:val="hybridMultilevel"/>
    <w:tmpl w:val="3724DEA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AA371DD"/>
    <w:multiLevelType w:val="hybridMultilevel"/>
    <w:tmpl w:val="73A05920"/>
    <w:lvl w:ilvl="0" w:tplc="370ACDC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82E77"/>
    <w:multiLevelType w:val="multilevel"/>
    <w:tmpl w:val="79C84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4252E2"/>
    <w:multiLevelType w:val="hybridMultilevel"/>
    <w:tmpl w:val="80A4A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04CF9"/>
    <w:multiLevelType w:val="hybridMultilevel"/>
    <w:tmpl w:val="D9D2E5E6"/>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900B11"/>
    <w:multiLevelType w:val="hybridMultilevel"/>
    <w:tmpl w:val="13808EB4"/>
    <w:lvl w:ilvl="0" w:tplc="080C000D">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5" w15:restartNumberingAfterBreak="0">
    <w:nsid w:val="66E06A94"/>
    <w:multiLevelType w:val="hybridMultilevel"/>
    <w:tmpl w:val="B02E484A"/>
    <w:lvl w:ilvl="0" w:tplc="E36E8736">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640EBB"/>
    <w:multiLevelType w:val="hybridMultilevel"/>
    <w:tmpl w:val="D19604C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6FC655DF"/>
    <w:multiLevelType w:val="hybridMultilevel"/>
    <w:tmpl w:val="D46E2F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13F4FED"/>
    <w:multiLevelType w:val="hybridMultilevel"/>
    <w:tmpl w:val="8926E72A"/>
    <w:lvl w:ilvl="0" w:tplc="6B667ED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3BF2D2D"/>
    <w:multiLevelType w:val="hybridMultilevel"/>
    <w:tmpl w:val="83421E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4"/>
  </w:num>
  <w:num w:numId="3">
    <w:abstractNumId w:val="11"/>
  </w:num>
  <w:num w:numId="4">
    <w:abstractNumId w:val="16"/>
  </w:num>
  <w:num w:numId="5">
    <w:abstractNumId w:val="16"/>
  </w:num>
  <w:num w:numId="6">
    <w:abstractNumId w:val="18"/>
  </w:num>
  <w:num w:numId="7">
    <w:abstractNumId w:val="28"/>
  </w:num>
  <w:num w:numId="8">
    <w:abstractNumId w:val="27"/>
  </w:num>
  <w:num w:numId="9">
    <w:abstractNumId w:val="6"/>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9"/>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5"/>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23"/>
  </w:num>
  <w:num w:numId="26">
    <w:abstractNumId w:val="22"/>
  </w:num>
  <w:num w:numId="27">
    <w:abstractNumId w:val="9"/>
  </w:num>
  <w:num w:numId="28">
    <w:abstractNumId w:val="4"/>
  </w:num>
  <w:num w:numId="29">
    <w:abstractNumId w:val="7"/>
  </w:num>
  <w:num w:numId="30">
    <w:abstractNumId w:val="14"/>
  </w:num>
  <w:num w:numId="31">
    <w:abstractNumId w:val="19"/>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0027B"/>
    <w:rsid w:val="00000644"/>
    <w:rsid w:val="00007B70"/>
    <w:rsid w:val="00017344"/>
    <w:rsid w:val="000178CD"/>
    <w:rsid w:val="00027203"/>
    <w:rsid w:val="00037A1E"/>
    <w:rsid w:val="00043B40"/>
    <w:rsid w:val="0005449F"/>
    <w:rsid w:val="000577AF"/>
    <w:rsid w:val="00067E83"/>
    <w:rsid w:val="00072980"/>
    <w:rsid w:val="0007764E"/>
    <w:rsid w:val="000972DF"/>
    <w:rsid w:val="00097B8C"/>
    <w:rsid w:val="000A28D7"/>
    <w:rsid w:val="000A3189"/>
    <w:rsid w:val="000A387B"/>
    <w:rsid w:val="000A7702"/>
    <w:rsid w:val="000A7D44"/>
    <w:rsid w:val="000B31B7"/>
    <w:rsid w:val="000B5701"/>
    <w:rsid w:val="000D38FD"/>
    <w:rsid w:val="000D3FCC"/>
    <w:rsid w:val="000E0EAB"/>
    <w:rsid w:val="000E3A5F"/>
    <w:rsid w:val="000F5636"/>
    <w:rsid w:val="00103EFA"/>
    <w:rsid w:val="00112F1C"/>
    <w:rsid w:val="00114EFA"/>
    <w:rsid w:val="001155FD"/>
    <w:rsid w:val="001212F1"/>
    <w:rsid w:val="00124493"/>
    <w:rsid w:val="00134D9C"/>
    <w:rsid w:val="00136C9C"/>
    <w:rsid w:val="00142C33"/>
    <w:rsid w:val="00176D46"/>
    <w:rsid w:val="00186A38"/>
    <w:rsid w:val="0019654F"/>
    <w:rsid w:val="001A0501"/>
    <w:rsid w:val="001A42C6"/>
    <w:rsid w:val="001D35F3"/>
    <w:rsid w:val="001D37FE"/>
    <w:rsid w:val="001E3448"/>
    <w:rsid w:val="001F4FAC"/>
    <w:rsid w:val="001F79BA"/>
    <w:rsid w:val="00200836"/>
    <w:rsid w:val="00202175"/>
    <w:rsid w:val="002021C8"/>
    <w:rsid w:val="00211A39"/>
    <w:rsid w:val="00230CA0"/>
    <w:rsid w:val="0023162A"/>
    <w:rsid w:val="00240F89"/>
    <w:rsid w:val="00241BE9"/>
    <w:rsid w:val="00247C4B"/>
    <w:rsid w:val="00253423"/>
    <w:rsid w:val="002556E6"/>
    <w:rsid w:val="00283303"/>
    <w:rsid w:val="00290DBA"/>
    <w:rsid w:val="00296446"/>
    <w:rsid w:val="002C0DC1"/>
    <w:rsid w:val="002C25FB"/>
    <w:rsid w:val="002D2C9E"/>
    <w:rsid w:val="002E4D2B"/>
    <w:rsid w:val="002E5A90"/>
    <w:rsid w:val="002F05DB"/>
    <w:rsid w:val="002F0B38"/>
    <w:rsid w:val="002F31EE"/>
    <w:rsid w:val="002F32C5"/>
    <w:rsid w:val="002F4D67"/>
    <w:rsid w:val="00302E61"/>
    <w:rsid w:val="0030536C"/>
    <w:rsid w:val="00305FFD"/>
    <w:rsid w:val="00331B9F"/>
    <w:rsid w:val="00335DF0"/>
    <w:rsid w:val="003367F0"/>
    <w:rsid w:val="003474A7"/>
    <w:rsid w:val="003675FD"/>
    <w:rsid w:val="003861EE"/>
    <w:rsid w:val="0039242B"/>
    <w:rsid w:val="003935B4"/>
    <w:rsid w:val="003B6AEB"/>
    <w:rsid w:val="003B743F"/>
    <w:rsid w:val="003D26CE"/>
    <w:rsid w:val="003D31F3"/>
    <w:rsid w:val="003D653A"/>
    <w:rsid w:val="003E1488"/>
    <w:rsid w:val="003E234C"/>
    <w:rsid w:val="003F592C"/>
    <w:rsid w:val="0040084C"/>
    <w:rsid w:val="00406A32"/>
    <w:rsid w:val="00410650"/>
    <w:rsid w:val="004108D4"/>
    <w:rsid w:val="0041642C"/>
    <w:rsid w:val="00436179"/>
    <w:rsid w:val="00440B60"/>
    <w:rsid w:val="00441375"/>
    <w:rsid w:val="00443602"/>
    <w:rsid w:val="0044639C"/>
    <w:rsid w:val="00493AAA"/>
    <w:rsid w:val="004D267D"/>
    <w:rsid w:val="004E3F2B"/>
    <w:rsid w:val="004E7C4E"/>
    <w:rsid w:val="004F1AF9"/>
    <w:rsid w:val="00503AA9"/>
    <w:rsid w:val="00511B17"/>
    <w:rsid w:val="00513325"/>
    <w:rsid w:val="00523396"/>
    <w:rsid w:val="00525C78"/>
    <w:rsid w:val="00541FE6"/>
    <w:rsid w:val="00550661"/>
    <w:rsid w:val="0055663C"/>
    <w:rsid w:val="00560634"/>
    <w:rsid w:val="00567870"/>
    <w:rsid w:val="00570AC1"/>
    <w:rsid w:val="00576FBB"/>
    <w:rsid w:val="005872F4"/>
    <w:rsid w:val="005A2072"/>
    <w:rsid w:val="005A256C"/>
    <w:rsid w:val="005A62C3"/>
    <w:rsid w:val="005B4694"/>
    <w:rsid w:val="005B6BC3"/>
    <w:rsid w:val="005C6267"/>
    <w:rsid w:val="005E2BDC"/>
    <w:rsid w:val="005E70D8"/>
    <w:rsid w:val="006000A9"/>
    <w:rsid w:val="00612694"/>
    <w:rsid w:val="006252E0"/>
    <w:rsid w:val="006321D9"/>
    <w:rsid w:val="00634D10"/>
    <w:rsid w:val="00655EB0"/>
    <w:rsid w:val="00662D8F"/>
    <w:rsid w:val="00672048"/>
    <w:rsid w:val="00680501"/>
    <w:rsid w:val="00683099"/>
    <w:rsid w:val="0069249A"/>
    <w:rsid w:val="00692B9B"/>
    <w:rsid w:val="00694ED6"/>
    <w:rsid w:val="00695C9E"/>
    <w:rsid w:val="006A3C99"/>
    <w:rsid w:val="006E0230"/>
    <w:rsid w:val="006F192A"/>
    <w:rsid w:val="00712B25"/>
    <w:rsid w:val="007154B4"/>
    <w:rsid w:val="007255C7"/>
    <w:rsid w:val="00730873"/>
    <w:rsid w:val="00756EBB"/>
    <w:rsid w:val="007570E8"/>
    <w:rsid w:val="00762678"/>
    <w:rsid w:val="00772350"/>
    <w:rsid w:val="00774D64"/>
    <w:rsid w:val="007838F5"/>
    <w:rsid w:val="007914EE"/>
    <w:rsid w:val="00796E31"/>
    <w:rsid w:val="007A02D1"/>
    <w:rsid w:val="007A1FD3"/>
    <w:rsid w:val="007C588B"/>
    <w:rsid w:val="007D06F5"/>
    <w:rsid w:val="007D3CEF"/>
    <w:rsid w:val="007E74F7"/>
    <w:rsid w:val="007E7C7C"/>
    <w:rsid w:val="00802C77"/>
    <w:rsid w:val="00803428"/>
    <w:rsid w:val="00834670"/>
    <w:rsid w:val="00837DB2"/>
    <w:rsid w:val="00837E56"/>
    <w:rsid w:val="00844366"/>
    <w:rsid w:val="008553AB"/>
    <w:rsid w:val="00855B27"/>
    <w:rsid w:val="00860E04"/>
    <w:rsid w:val="00870F20"/>
    <w:rsid w:val="00874215"/>
    <w:rsid w:val="00874493"/>
    <w:rsid w:val="008750DB"/>
    <w:rsid w:val="00876616"/>
    <w:rsid w:val="008845D8"/>
    <w:rsid w:val="00891769"/>
    <w:rsid w:val="00891A96"/>
    <w:rsid w:val="008C2015"/>
    <w:rsid w:val="008D16DA"/>
    <w:rsid w:val="008D5034"/>
    <w:rsid w:val="008D61D6"/>
    <w:rsid w:val="008E0B07"/>
    <w:rsid w:val="008E5EC4"/>
    <w:rsid w:val="008F000D"/>
    <w:rsid w:val="00922811"/>
    <w:rsid w:val="00923AC2"/>
    <w:rsid w:val="00931670"/>
    <w:rsid w:val="0095021C"/>
    <w:rsid w:val="00957817"/>
    <w:rsid w:val="0096749A"/>
    <w:rsid w:val="0097792C"/>
    <w:rsid w:val="00996322"/>
    <w:rsid w:val="009A5D33"/>
    <w:rsid w:val="009B3214"/>
    <w:rsid w:val="009E1560"/>
    <w:rsid w:val="00A024FE"/>
    <w:rsid w:val="00A02920"/>
    <w:rsid w:val="00A0731D"/>
    <w:rsid w:val="00A17040"/>
    <w:rsid w:val="00A3036F"/>
    <w:rsid w:val="00A31116"/>
    <w:rsid w:val="00A34DF8"/>
    <w:rsid w:val="00A42FB3"/>
    <w:rsid w:val="00A47A52"/>
    <w:rsid w:val="00A5128C"/>
    <w:rsid w:val="00A550A4"/>
    <w:rsid w:val="00A64D61"/>
    <w:rsid w:val="00A6529F"/>
    <w:rsid w:val="00AB5F76"/>
    <w:rsid w:val="00B0322C"/>
    <w:rsid w:val="00B10288"/>
    <w:rsid w:val="00B108C0"/>
    <w:rsid w:val="00B23BEB"/>
    <w:rsid w:val="00B27174"/>
    <w:rsid w:val="00B33B13"/>
    <w:rsid w:val="00B342A0"/>
    <w:rsid w:val="00B56322"/>
    <w:rsid w:val="00B7125B"/>
    <w:rsid w:val="00B722A9"/>
    <w:rsid w:val="00B76F2F"/>
    <w:rsid w:val="00B93B34"/>
    <w:rsid w:val="00B96FDB"/>
    <w:rsid w:val="00BA59B3"/>
    <w:rsid w:val="00BC235C"/>
    <w:rsid w:val="00BC3D2F"/>
    <w:rsid w:val="00BC5855"/>
    <w:rsid w:val="00BC6E3E"/>
    <w:rsid w:val="00BC7B55"/>
    <w:rsid w:val="00BD5918"/>
    <w:rsid w:val="00BD60CE"/>
    <w:rsid w:val="00BE1FAD"/>
    <w:rsid w:val="00BF08E5"/>
    <w:rsid w:val="00BF6BA6"/>
    <w:rsid w:val="00C01CF1"/>
    <w:rsid w:val="00C0726B"/>
    <w:rsid w:val="00C17133"/>
    <w:rsid w:val="00C25122"/>
    <w:rsid w:val="00C274FA"/>
    <w:rsid w:val="00C34780"/>
    <w:rsid w:val="00C45CCF"/>
    <w:rsid w:val="00C503CC"/>
    <w:rsid w:val="00C578A7"/>
    <w:rsid w:val="00C60347"/>
    <w:rsid w:val="00C634E3"/>
    <w:rsid w:val="00C71872"/>
    <w:rsid w:val="00C74467"/>
    <w:rsid w:val="00C83F56"/>
    <w:rsid w:val="00C859BE"/>
    <w:rsid w:val="00C96736"/>
    <w:rsid w:val="00C97C16"/>
    <w:rsid w:val="00CC0A9A"/>
    <w:rsid w:val="00CC256D"/>
    <w:rsid w:val="00D04936"/>
    <w:rsid w:val="00D175F1"/>
    <w:rsid w:val="00D229DC"/>
    <w:rsid w:val="00D2465D"/>
    <w:rsid w:val="00D50298"/>
    <w:rsid w:val="00D73CC8"/>
    <w:rsid w:val="00D836CE"/>
    <w:rsid w:val="00D90372"/>
    <w:rsid w:val="00D91BC8"/>
    <w:rsid w:val="00D92309"/>
    <w:rsid w:val="00D95F1F"/>
    <w:rsid w:val="00DA130E"/>
    <w:rsid w:val="00DB4D30"/>
    <w:rsid w:val="00DB7A0C"/>
    <w:rsid w:val="00DC2BE9"/>
    <w:rsid w:val="00DD6672"/>
    <w:rsid w:val="00DF1A07"/>
    <w:rsid w:val="00DF4C51"/>
    <w:rsid w:val="00DF7E25"/>
    <w:rsid w:val="00E05BF1"/>
    <w:rsid w:val="00E12213"/>
    <w:rsid w:val="00E660E3"/>
    <w:rsid w:val="00E879A8"/>
    <w:rsid w:val="00E90317"/>
    <w:rsid w:val="00EB0871"/>
    <w:rsid w:val="00ED3762"/>
    <w:rsid w:val="00ED3D38"/>
    <w:rsid w:val="00ED3EE4"/>
    <w:rsid w:val="00EE7CCD"/>
    <w:rsid w:val="00EF12EF"/>
    <w:rsid w:val="00EF23F1"/>
    <w:rsid w:val="00EF493A"/>
    <w:rsid w:val="00EF5D7B"/>
    <w:rsid w:val="00EF5EC3"/>
    <w:rsid w:val="00EF729F"/>
    <w:rsid w:val="00F03C49"/>
    <w:rsid w:val="00F13D9D"/>
    <w:rsid w:val="00F212AF"/>
    <w:rsid w:val="00F21CEA"/>
    <w:rsid w:val="00F331AB"/>
    <w:rsid w:val="00F4579A"/>
    <w:rsid w:val="00F57719"/>
    <w:rsid w:val="00F621E2"/>
    <w:rsid w:val="00F675F3"/>
    <w:rsid w:val="00F743E5"/>
    <w:rsid w:val="00F77CA8"/>
    <w:rsid w:val="00F84A66"/>
    <w:rsid w:val="00F84B58"/>
    <w:rsid w:val="00F910E8"/>
    <w:rsid w:val="00FB144F"/>
    <w:rsid w:val="00FB2839"/>
    <w:rsid w:val="00FB7612"/>
    <w:rsid w:val="00FD2DC5"/>
    <w:rsid w:val="00FE52EF"/>
    <w:rsid w:val="00FE5C46"/>
    <w:rsid w:val="00FF186A"/>
    <w:rsid w:val="00FF52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3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Heading"/>
    <w:next w:val="Textbody"/>
    <w:link w:val="Titre1Car"/>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C34780"/>
    <w:rPr>
      <w:rFonts w:ascii="Courier New" w:eastAsia="Arial" w:hAnsi="Courier New" w:cs="Courier New"/>
      <w:sz w:val="20"/>
      <w:szCs w:val="20"/>
    </w:rPr>
  </w:style>
  <w:style w:type="paragraph" w:styleId="Paragraphedeliste">
    <w:name w:val="List Paragraph"/>
    <w:basedOn w:val="Normal"/>
    <w:uiPriority w:val="34"/>
    <w:qFormat/>
    <w:rsid w:val="00576FBB"/>
    <w:pPr>
      <w:ind w:left="720"/>
      <w:contextualSpacing/>
    </w:pPr>
  </w:style>
  <w:style w:type="character" w:styleId="Appelnotedebasdep">
    <w:name w:val="footnote reference"/>
    <w:aliases w:val="Appel note de bas de page,callout,Footnote Refernece,Footnotes refss,Footnote Reference Superscript,BVI fnr,Footnote Reference Number"/>
    <w:uiPriority w:val="99"/>
    <w:rsid w:val="00837E56"/>
  </w:style>
  <w:style w:type="paragraph" w:styleId="Notedebasdepage">
    <w:name w:val="footnote text"/>
    <w:aliases w:val="Note de bas de page Car1 Car,Note de bas de page Car Car Car,Note de bas de page Car1 Car Car Car,Note de bas de page Car Car Car Car Car,Note de bas de page Car1 Car Car Car Car Car"/>
    <w:basedOn w:val="Normal"/>
    <w:link w:val="NotedebasdepageCar"/>
    <w:uiPriority w:val="99"/>
    <w:unhideWhenUsed/>
    <w:rsid w:val="00837E56"/>
    <w:pPr>
      <w:suppressAutoHyphens w:val="0"/>
      <w:autoSpaceDN/>
      <w:textAlignment w:val="auto"/>
    </w:pPr>
    <w:rPr>
      <w:rFonts w:ascii="Courier" w:eastAsia="Times New Roman" w:hAnsi="Courier" w:cs="Times New Roman"/>
      <w:snapToGrid w:val="0"/>
      <w:kern w:val="0"/>
      <w:sz w:val="20"/>
      <w:szCs w:val="20"/>
      <w:lang w:val="fr-FR" w:eastAsia="fr-FR"/>
    </w:rPr>
  </w:style>
  <w:style w:type="character" w:customStyle="1" w:styleId="NotedebasdepageCar">
    <w:name w:val="Note de bas de page Car"/>
    <w:aliases w:val="Note de bas de page Car1 Car Car,Note de bas de page Car Car Car Car,Note de bas de page Car1 Car Car Car Car,Note de bas de page Car Car Car Car Car Car,Note de bas de page Car1 Car Car Car Car Car Car"/>
    <w:basedOn w:val="Policepardfaut"/>
    <w:link w:val="Notedebasdepage"/>
    <w:uiPriority w:val="99"/>
    <w:rsid w:val="00837E56"/>
    <w:rPr>
      <w:rFonts w:ascii="Courier" w:eastAsia="Times New Roman" w:hAnsi="Courier" w:cs="Times New Roman"/>
      <w:snapToGrid w:val="0"/>
      <w:kern w:val="0"/>
      <w:sz w:val="20"/>
      <w:szCs w:val="20"/>
      <w:lang w:val="fr-FR" w:eastAsia="fr-FR"/>
    </w:rPr>
  </w:style>
  <w:style w:type="character" w:styleId="Lienhypertexte">
    <w:name w:val="Hyperlink"/>
    <w:unhideWhenUsed/>
    <w:rsid w:val="00302E61"/>
    <w:rPr>
      <w:color w:val="0000FF"/>
      <w:u w:val="single"/>
    </w:rPr>
  </w:style>
  <w:style w:type="character" w:customStyle="1" w:styleId="street-address">
    <w:name w:val="street-address"/>
    <w:basedOn w:val="Policepardfaut"/>
    <w:rsid w:val="00874215"/>
  </w:style>
  <w:style w:type="character" w:customStyle="1" w:styleId="postal-code">
    <w:name w:val="postal-code"/>
    <w:basedOn w:val="Policepardfaut"/>
    <w:rsid w:val="00874215"/>
  </w:style>
  <w:style w:type="character" w:customStyle="1" w:styleId="locality">
    <w:name w:val="locality"/>
    <w:basedOn w:val="Policepardfaut"/>
    <w:rsid w:val="00874215"/>
  </w:style>
  <w:style w:type="character" w:customStyle="1" w:styleId="Titre1Car">
    <w:name w:val="Titre 1 Car"/>
    <w:basedOn w:val="Policepardfaut"/>
    <w:link w:val="Titre1"/>
    <w:rsid w:val="00EF5EC3"/>
    <w:rPr>
      <w:b/>
      <w:bCs/>
      <w:sz w:val="48"/>
      <w:szCs w:val="48"/>
    </w:rPr>
  </w:style>
  <w:style w:type="paragraph" w:styleId="Normalcentr">
    <w:name w:val="Block Text"/>
    <w:basedOn w:val="Normal"/>
    <w:rsid w:val="00067E83"/>
    <w:pPr>
      <w:widowControl/>
      <w:suppressAutoHyphens w:val="0"/>
      <w:autoSpaceDN/>
      <w:ind w:left="180" w:right="-108"/>
      <w:textAlignment w:val="auto"/>
    </w:pPr>
    <w:rPr>
      <w:rFonts w:eastAsia="Times New Roman" w:cs="Times New Roman"/>
      <w:kern w:val="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 w:id="1650402249">
      <w:bodyDiv w:val="1"/>
      <w:marLeft w:val="0"/>
      <w:marRight w:val="0"/>
      <w:marTop w:val="0"/>
      <w:marBottom w:val="0"/>
      <w:divBdr>
        <w:top w:val="none" w:sz="0" w:space="0" w:color="auto"/>
        <w:left w:val="none" w:sz="0" w:space="0" w:color="auto"/>
        <w:bottom w:val="none" w:sz="0" w:space="0" w:color="auto"/>
        <w:right w:val="none" w:sz="0" w:space="0" w:color="auto"/>
      </w:divBdr>
    </w:div>
    <w:div w:id="213905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juridat.be" TargetMode="External"/><Relationship Id="rId4" Type="http://schemas.openxmlformats.org/officeDocument/2006/relationships/settings" Target="settings.xml"/><Relationship Id="rId9" Type="http://schemas.openxmlformats.org/officeDocument/2006/relationships/hyperlink" Target="http://www.juridat.be"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terralaboris.be" TargetMode="External"/><Relationship Id="rId13" Type="http://schemas.openxmlformats.org/officeDocument/2006/relationships/hyperlink" Target="http://www.juportal.be" TargetMode="External"/><Relationship Id="rId3" Type="http://schemas.openxmlformats.org/officeDocument/2006/relationships/hyperlink" Target="http://www.terralaboris.be" TargetMode="External"/><Relationship Id="rId7" Type="http://schemas.openxmlformats.org/officeDocument/2006/relationships/hyperlink" Target="http://www.juportal.be" TargetMode="External"/><Relationship Id="rId12" Type="http://schemas.openxmlformats.org/officeDocument/2006/relationships/hyperlink" Target="http://www.terralaboris.be" TargetMode="External"/><Relationship Id="rId2" Type="http://schemas.openxmlformats.org/officeDocument/2006/relationships/hyperlink" Target="http://www.juportal.be" TargetMode="External"/><Relationship Id="rId1" Type="http://schemas.openxmlformats.org/officeDocument/2006/relationships/hyperlink" Target="http://www.juportal.be" TargetMode="External"/><Relationship Id="rId6" Type="http://schemas.openxmlformats.org/officeDocument/2006/relationships/hyperlink" Target="http://www.terralaboris.be" TargetMode="External"/><Relationship Id="rId11" Type="http://schemas.openxmlformats.org/officeDocument/2006/relationships/hyperlink" Target="http://www.terralaboris.be" TargetMode="External"/><Relationship Id="rId5" Type="http://schemas.openxmlformats.org/officeDocument/2006/relationships/hyperlink" Target="http://www.terralaboris.be" TargetMode="External"/><Relationship Id="rId10" Type="http://schemas.openxmlformats.org/officeDocument/2006/relationships/hyperlink" Target="http://www.terralaboris.be" TargetMode="External"/><Relationship Id="rId4" Type="http://schemas.openxmlformats.org/officeDocument/2006/relationships/hyperlink" Target="http://www.terralaboris.be" TargetMode="External"/><Relationship Id="rId9" Type="http://schemas.openxmlformats.org/officeDocument/2006/relationships/hyperlink" Target="http://www.juportal.be" TargetMode="External"/><Relationship Id="rId14" Type="http://schemas.openxmlformats.org/officeDocument/2006/relationships/hyperlink" Target="http://www.terralabo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D1C8-3227-4C51-9600-6100615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7518</Words>
  <Characters>41353</Characters>
  <Application>Microsoft Office Word</Application>
  <DocSecurity>4</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2022-09-08T12:10:00Z</dcterms:created>
  <dcterms:modified xsi:type="dcterms:W3CDTF">2022-09-08T12:10:00Z</dcterms:modified>
</cp:coreProperties>
</file>