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686C2"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18F64D16" wp14:editId="3BF80C1A">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9CCA3C1" w14:textId="77777777" w:rsidR="002E13EE" w:rsidRDefault="002E13EE" w:rsidP="002D50E6">
      <w:pPr>
        <w:pStyle w:val="Textebrut"/>
        <w:rPr>
          <w:rFonts w:asciiTheme="minorHAnsi" w:hAnsiTheme="minorHAnsi" w:cstheme="minorHAnsi"/>
          <w:b/>
          <w:sz w:val="32"/>
          <w:szCs w:val="32"/>
          <w:u w:val="single"/>
        </w:rPr>
      </w:pPr>
    </w:p>
    <w:p w14:paraId="3AB316E1" w14:textId="77777777" w:rsidR="002E13EE" w:rsidRDefault="002E13EE" w:rsidP="002D50E6">
      <w:pPr>
        <w:pStyle w:val="Textebrut"/>
        <w:rPr>
          <w:rFonts w:asciiTheme="minorHAnsi" w:hAnsiTheme="minorHAnsi" w:cstheme="minorHAnsi"/>
          <w:b/>
          <w:sz w:val="32"/>
          <w:szCs w:val="32"/>
          <w:u w:val="single"/>
        </w:rPr>
      </w:pPr>
    </w:p>
    <w:p w14:paraId="038181A5" w14:textId="77777777" w:rsidR="002E13EE" w:rsidRDefault="002E13EE" w:rsidP="002D50E6">
      <w:pPr>
        <w:pStyle w:val="Textebrut"/>
        <w:rPr>
          <w:rFonts w:asciiTheme="minorHAnsi" w:hAnsiTheme="minorHAnsi" w:cstheme="minorHAnsi"/>
          <w:b/>
          <w:sz w:val="32"/>
          <w:szCs w:val="32"/>
          <w:u w:val="single"/>
        </w:rPr>
      </w:pPr>
    </w:p>
    <w:p w14:paraId="1A574A7F"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62F2BC6F"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21D19C6A"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répertoire</w:t>
            </w:r>
          </w:p>
          <w:p w14:paraId="016A63C8" w14:textId="77777777" w:rsidR="002D50E6" w:rsidRPr="0097037A" w:rsidRDefault="002D50E6" w:rsidP="00E90939">
            <w:pPr>
              <w:ind w:right="252"/>
              <w:rPr>
                <w:rFonts w:ascii="Calibri" w:hAnsi="Calibri"/>
                <w:sz w:val="16"/>
                <w:szCs w:val="16"/>
              </w:rPr>
            </w:pPr>
          </w:p>
          <w:p w14:paraId="698297E4" w14:textId="77777777" w:rsidR="002D50E6" w:rsidRPr="0097037A" w:rsidRDefault="008B0CD0" w:rsidP="00E90939">
            <w:pPr>
              <w:rPr>
                <w:rFonts w:ascii="Calibri" w:hAnsi="Calibri"/>
                <w:b/>
                <w:bCs/>
              </w:rPr>
            </w:pPr>
            <w:r>
              <w:rPr>
                <w:rFonts w:ascii="Calibri" w:hAnsi="Calibri"/>
                <w:b/>
                <w:bCs/>
              </w:rPr>
              <w:t>2023</w:t>
            </w:r>
            <w:r w:rsidR="002D50E6" w:rsidRPr="0097037A">
              <w:rPr>
                <w:rFonts w:ascii="Calibri" w:hAnsi="Calibri"/>
                <w:b/>
                <w:bCs/>
              </w:rPr>
              <w:t>/</w:t>
            </w:r>
          </w:p>
          <w:p w14:paraId="5209F46C" w14:textId="77777777" w:rsidR="002D50E6" w:rsidRPr="0097037A" w:rsidRDefault="002D50E6" w:rsidP="00E90939">
            <w:pPr>
              <w:rPr>
                <w:rFonts w:ascii="Calibri" w:hAnsi="Calibri"/>
                <w:sz w:val="16"/>
                <w:szCs w:val="16"/>
              </w:rPr>
            </w:pPr>
          </w:p>
        </w:tc>
      </w:tr>
      <w:tr w:rsidR="002D50E6" w:rsidRPr="0063600A" w14:paraId="1EF0974A"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1533C911" w14:textId="77777777" w:rsidR="002D50E6" w:rsidRPr="0097037A" w:rsidRDefault="002D50E6" w:rsidP="00E90939">
            <w:pPr>
              <w:snapToGrid w:val="0"/>
              <w:ind w:right="252"/>
              <w:rPr>
                <w:rFonts w:ascii="Calibri" w:hAnsi="Calibri"/>
                <w:sz w:val="18"/>
              </w:rPr>
            </w:pPr>
            <w:r>
              <w:rPr>
                <w:rFonts w:ascii="Calibri" w:hAnsi="Calibri"/>
                <w:sz w:val="18"/>
              </w:rPr>
              <w:t>date du jugement</w:t>
            </w:r>
          </w:p>
          <w:p w14:paraId="7EB54360" w14:textId="77777777" w:rsidR="002D50E6" w:rsidRPr="0097037A" w:rsidRDefault="002D50E6" w:rsidP="00E90939">
            <w:pPr>
              <w:rPr>
                <w:rFonts w:ascii="Calibri" w:hAnsi="Calibri"/>
                <w:b/>
              </w:rPr>
            </w:pPr>
          </w:p>
          <w:p w14:paraId="0AE6AE8B" w14:textId="482D4B49" w:rsidR="002D50E6" w:rsidRPr="0097037A" w:rsidRDefault="00CB1D52" w:rsidP="00E90939">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3-03-03T00:00:00Z">
                  <w:dateFormat w:val="dd/MM/yyyy"/>
                  <w:lid w:val="fr-BE"/>
                  <w:storeMappedDataAs w:val="dateTime"/>
                  <w:calendar w:val="gregorian"/>
                </w:date>
              </w:sdtPr>
              <w:sdtEndPr/>
              <w:sdtContent>
                <w:r w:rsidR="007A1E61">
                  <w:rPr>
                    <w:rFonts w:asciiTheme="minorHAnsi" w:hAnsiTheme="minorHAnsi" w:cstheme="minorHAnsi"/>
                    <w:b/>
                    <w:sz w:val="32"/>
                    <w:szCs w:val="32"/>
                    <w:u w:val="single"/>
                  </w:rPr>
                  <w:t>03/03/2023</w:t>
                </w:r>
              </w:sdtContent>
            </w:sdt>
            <w:r w:rsidR="00F30CB5" w:rsidRPr="0097037A">
              <w:rPr>
                <w:rFonts w:ascii="Calibri" w:hAnsi="Calibri"/>
                <w:b/>
              </w:rPr>
              <w:t xml:space="preserve"> </w:t>
            </w:r>
          </w:p>
          <w:p w14:paraId="4EC2B6EE" w14:textId="77777777" w:rsidR="002D50E6" w:rsidRPr="0097037A" w:rsidRDefault="002D50E6" w:rsidP="00E90939">
            <w:pPr>
              <w:rPr>
                <w:rFonts w:ascii="Calibri" w:hAnsi="Calibri"/>
                <w:sz w:val="16"/>
                <w:szCs w:val="16"/>
              </w:rPr>
            </w:pPr>
          </w:p>
        </w:tc>
      </w:tr>
      <w:tr w:rsidR="002D50E6" w:rsidRPr="0097037A" w14:paraId="03F0570C" w14:textId="77777777" w:rsidTr="00E90939">
        <w:tc>
          <w:tcPr>
            <w:tcW w:w="2932" w:type="dxa"/>
            <w:tcBorders>
              <w:top w:val="single" w:sz="4" w:space="0" w:color="000000"/>
              <w:left w:val="single" w:sz="4" w:space="0" w:color="000000"/>
              <w:bottom w:val="single" w:sz="4" w:space="0" w:color="000000"/>
              <w:right w:val="single" w:sz="4" w:space="0" w:color="000000"/>
            </w:tcBorders>
          </w:tcPr>
          <w:p w14:paraId="0EE8A8A9" w14:textId="77777777" w:rsidR="002D50E6" w:rsidRPr="0097037A" w:rsidRDefault="002D50E6" w:rsidP="00E90939">
            <w:pPr>
              <w:snapToGrid w:val="0"/>
              <w:ind w:right="252"/>
              <w:rPr>
                <w:rFonts w:ascii="Calibri" w:hAnsi="Calibri"/>
                <w:sz w:val="18"/>
              </w:rPr>
            </w:pPr>
            <w:r w:rsidRPr="0097037A">
              <w:rPr>
                <w:rFonts w:ascii="Calibri" w:hAnsi="Calibri"/>
                <w:sz w:val="18"/>
              </w:rPr>
              <w:t>numéro de rôle</w:t>
            </w:r>
          </w:p>
          <w:p w14:paraId="0E9B0668" w14:textId="77777777" w:rsidR="002D50E6" w:rsidRPr="004D4CC3" w:rsidRDefault="002D50E6" w:rsidP="00E90939">
            <w:pPr>
              <w:ind w:right="252"/>
              <w:rPr>
                <w:rFonts w:ascii="Calibri" w:hAnsi="Calibri"/>
                <w:sz w:val="18"/>
                <w:szCs w:val="18"/>
              </w:rPr>
            </w:pPr>
          </w:p>
          <w:p w14:paraId="6C51814C" w14:textId="77777777" w:rsidR="002D50E6" w:rsidRPr="004D4CC3" w:rsidRDefault="002D50E6" w:rsidP="00E90939">
            <w:pPr>
              <w:rPr>
                <w:rFonts w:ascii="Calibri" w:hAnsi="Calibri"/>
                <w:b/>
                <w:sz w:val="20"/>
                <w:szCs w:val="20"/>
              </w:rPr>
            </w:pPr>
            <w:r w:rsidRPr="007A1E61">
              <w:rPr>
                <w:rFonts w:ascii="Calibri" w:hAnsi="Calibri" w:cs="Calibri"/>
                <w:b/>
                <w:bCs/>
                <w:szCs w:val="22"/>
              </w:rPr>
              <w:t>R.G. : 22/ 1241/ A</w:t>
            </w:r>
            <w:r w:rsidRPr="004D4CC3">
              <w:rPr>
                <w:rFonts w:ascii="Calibri" w:hAnsi="Calibri"/>
                <w:b/>
                <w:sz w:val="20"/>
                <w:szCs w:val="20"/>
              </w:rPr>
              <w:t xml:space="preserve"> </w:t>
            </w:r>
          </w:p>
          <w:p w14:paraId="0DDA1F52" w14:textId="77777777" w:rsidR="002D50E6" w:rsidRPr="0097037A" w:rsidRDefault="002D50E6" w:rsidP="00E90939">
            <w:pPr>
              <w:rPr>
                <w:rFonts w:ascii="Calibri" w:hAnsi="Calibri"/>
                <w:sz w:val="16"/>
                <w:szCs w:val="16"/>
              </w:rPr>
            </w:pPr>
          </w:p>
        </w:tc>
      </w:tr>
    </w:tbl>
    <w:p w14:paraId="36481B10"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6425FD4F" w14:textId="77777777" w:rsidTr="00BB2F46">
        <w:trPr>
          <w:trHeight w:val="4428"/>
        </w:trPr>
        <w:tc>
          <w:tcPr>
            <w:tcW w:w="5544" w:type="dxa"/>
          </w:tcPr>
          <w:p w14:paraId="0742F508"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3AA2B322" w14:textId="77777777" w:rsidTr="00E90939">
              <w:trPr>
                <w:trHeight w:val="1871"/>
              </w:trPr>
              <w:tc>
                <w:tcPr>
                  <w:tcW w:w="2256" w:type="dxa"/>
                  <w:tcBorders>
                    <w:top w:val="single" w:sz="4" w:space="0" w:color="808080"/>
                    <w:left w:val="single" w:sz="4" w:space="0" w:color="808080"/>
                    <w:bottom w:val="single" w:sz="4" w:space="0" w:color="808080"/>
                  </w:tcBorders>
                  <w:vAlign w:val="center"/>
                </w:tcPr>
                <w:p w14:paraId="2EBEDA92" w14:textId="77777777" w:rsidR="00BB2F46" w:rsidRPr="0097037A" w:rsidRDefault="00BB2F46" w:rsidP="00CB1D52">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AD3E263"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5DA0D784"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7E78BDFD"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791D8758"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7CDE45A8"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7623469F"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259470F"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7607E9AE" w14:textId="77777777" w:rsidR="00BB2F46" w:rsidRPr="0097037A" w:rsidRDefault="00BB2F46" w:rsidP="00CB1D52">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289CB33F" w14:textId="77777777" w:rsidR="00BB2F46" w:rsidRPr="0097037A" w:rsidRDefault="00BB2F46" w:rsidP="00CB1D52">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1E953541"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5D28CF62"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01A8DB77"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45F8172F"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599E2D55"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243DF138"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775BB4ED"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1438E229" w14:textId="77777777" w:rsidR="00BB2F46" w:rsidRPr="0097037A" w:rsidRDefault="00BB2F46" w:rsidP="00CB1D52">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6548EE52" w14:textId="77777777" w:rsidR="00BB2F46" w:rsidRPr="0097037A" w:rsidRDefault="00BB2F46" w:rsidP="00CB1D52">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39EBBF2B"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2411A65F"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54284481"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27D8F955"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49E1FE01"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p>
                <w:p w14:paraId="7DDA5B2E"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CE8E65A" w14:textId="77777777" w:rsidR="00BB2F46" w:rsidRPr="0097037A" w:rsidRDefault="00BB2F46" w:rsidP="00CB1D52">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4DD9E13D" w14:textId="77777777" w:rsidR="00BB2F46" w:rsidRPr="0097037A" w:rsidRDefault="00BB2F46" w:rsidP="00CB1D52">
                  <w:pPr>
                    <w:framePr w:hSpace="141" w:wrap="around" w:vAnchor="text" w:hAnchor="text" w:x="3205" w:y="-3719"/>
                    <w:rPr>
                      <w:rFonts w:ascii="Calibri" w:eastAsia="SimSun" w:hAnsi="Calibri" w:cs="Times New Roman"/>
                      <w:color w:val="808080"/>
                      <w:sz w:val="8"/>
                      <w:szCs w:val="8"/>
                    </w:rPr>
                  </w:pPr>
                </w:p>
              </w:tc>
            </w:tr>
          </w:tbl>
          <w:p w14:paraId="0EBEEE41" w14:textId="77777777" w:rsidR="00BB2F46" w:rsidRDefault="00BB2F46" w:rsidP="00BB2F46"/>
          <w:p w14:paraId="4DC6F15B" w14:textId="77777777" w:rsidR="00BB2F46" w:rsidRDefault="00BB2F46" w:rsidP="00BB2F46"/>
        </w:tc>
      </w:tr>
    </w:tbl>
    <w:p w14:paraId="2073A3F5" w14:textId="77777777" w:rsidR="002D50E6" w:rsidRPr="0097037A" w:rsidRDefault="002D50E6" w:rsidP="002D50E6"/>
    <w:p w14:paraId="0F65A2D5"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21101EA8" w14:textId="77777777" w:rsidTr="00E90939">
        <w:tc>
          <w:tcPr>
            <w:tcW w:w="389" w:type="dxa"/>
            <w:vAlign w:val="center"/>
          </w:tcPr>
          <w:p w14:paraId="49247B07" w14:textId="77777777" w:rsidR="002D50E6" w:rsidRPr="0097037A" w:rsidRDefault="002D50E6" w:rsidP="00E90939">
            <w:pPr>
              <w:snapToGrid w:val="0"/>
              <w:ind w:left="-113"/>
              <w:rPr>
                <w:rFonts w:ascii="Wingdings" w:hAnsi="Wingdings"/>
                <w:sz w:val="32"/>
              </w:rPr>
            </w:pPr>
            <w:r w:rsidRPr="0097037A">
              <w:rPr>
                <w:rFonts w:ascii="Wingdings" w:hAnsi="Wingdings"/>
                <w:sz w:val="32"/>
              </w:rPr>
              <w:t></w:t>
            </w:r>
          </w:p>
        </w:tc>
        <w:tc>
          <w:tcPr>
            <w:tcW w:w="2419" w:type="dxa"/>
            <w:vAlign w:val="center"/>
          </w:tcPr>
          <w:p w14:paraId="1790977C" w14:textId="77777777" w:rsidR="002D50E6" w:rsidRPr="0097037A" w:rsidRDefault="002D50E6" w:rsidP="00E90939">
            <w:pPr>
              <w:snapToGrid w:val="0"/>
              <w:rPr>
                <w:rFonts w:ascii="Calibri" w:hAnsi="Calibri"/>
                <w:sz w:val="18"/>
              </w:rPr>
            </w:pPr>
            <w:r w:rsidRPr="0097037A">
              <w:rPr>
                <w:rFonts w:ascii="Calibri" w:hAnsi="Calibri"/>
                <w:sz w:val="18"/>
              </w:rPr>
              <w:t>ne pas présenter à l’inspecteur</w:t>
            </w:r>
          </w:p>
        </w:tc>
      </w:tr>
    </w:tbl>
    <w:p w14:paraId="0274C5C3"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212C8E7C" w14:textId="77777777" w:rsidTr="002E13EE">
        <w:trPr>
          <w:gridBefore w:val="2"/>
          <w:wBefore w:w="3768" w:type="dxa"/>
          <w:trHeight w:val="5155"/>
        </w:trPr>
        <w:tc>
          <w:tcPr>
            <w:tcW w:w="5460" w:type="dxa"/>
          </w:tcPr>
          <w:p w14:paraId="54D37C31"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5050400A" w14:textId="77777777" w:rsidR="00BB2F46" w:rsidRPr="0097037A" w:rsidRDefault="00BB2F46" w:rsidP="00BB2F46">
            <w:pPr>
              <w:pStyle w:val="Plattetekstinspringen2"/>
              <w:ind w:left="0"/>
              <w:rPr>
                <w:rFonts w:ascii="Calibri" w:hAnsi="Calibri"/>
                <w:b/>
                <w:sz w:val="36"/>
                <w:szCs w:val="36"/>
                <w:lang w:val="fr-BE"/>
              </w:rPr>
            </w:pPr>
          </w:p>
          <w:p w14:paraId="31B5A11E"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FF2BB71" w14:textId="77777777" w:rsidR="00BB2F46" w:rsidRPr="0097037A" w:rsidRDefault="00BB2F46" w:rsidP="00BB2F46">
            <w:pPr>
              <w:rPr>
                <w:rFonts w:ascii="Calibri" w:hAnsi="Calibri"/>
                <w:sz w:val="36"/>
                <w:szCs w:val="36"/>
              </w:rPr>
            </w:pPr>
          </w:p>
          <w:p w14:paraId="3E0D92BA" w14:textId="0CAE0817"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 xml:space="preserve">Septième chambre </w:t>
            </w:r>
          </w:p>
          <w:p w14:paraId="29C2B7A6" w14:textId="77777777" w:rsidR="00BB2F46" w:rsidRDefault="00BB2F46" w:rsidP="00BB2F46">
            <w:pPr>
              <w:rPr>
                <w:rFonts w:ascii="Calibri" w:hAnsi="Calibri"/>
                <w:sz w:val="36"/>
                <w:szCs w:val="36"/>
                <w:lang w:val="nl-NL"/>
              </w:rPr>
            </w:pPr>
          </w:p>
          <w:p w14:paraId="2E0C191F" w14:textId="77777777" w:rsidR="00BB2F46" w:rsidRDefault="00BB2F46" w:rsidP="002D50E6">
            <w:pPr>
              <w:pStyle w:val="Textebrut"/>
              <w:rPr>
                <w:rFonts w:asciiTheme="minorHAnsi" w:hAnsiTheme="minorHAnsi" w:cstheme="minorHAnsi"/>
                <w:b/>
                <w:sz w:val="32"/>
                <w:szCs w:val="32"/>
                <w:u w:val="single"/>
              </w:rPr>
            </w:pPr>
          </w:p>
        </w:tc>
      </w:tr>
      <w:tr w:rsidR="00BB2F46" w14:paraId="21D2F0E7" w14:textId="77777777" w:rsidTr="00BB2F46">
        <w:trPr>
          <w:gridAfter w:val="2"/>
          <w:wAfter w:w="5820" w:type="dxa"/>
          <w:trHeight w:val="936"/>
        </w:trPr>
        <w:tc>
          <w:tcPr>
            <w:tcW w:w="3408" w:type="dxa"/>
          </w:tcPr>
          <w:p w14:paraId="4562E4D1"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7DF1017C" w14:textId="77777777" w:rsidR="00BB2F46" w:rsidRDefault="00BB2F46" w:rsidP="00BB2F46">
            <w:pPr>
              <w:pStyle w:val="Textebrut"/>
              <w:ind w:left="600"/>
              <w:rPr>
                <w:rFonts w:asciiTheme="minorHAnsi" w:hAnsiTheme="minorHAnsi" w:cstheme="minorHAnsi"/>
                <w:b/>
                <w:sz w:val="32"/>
                <w:szCs w:val="32"/>
                <w:u w:val="single"/>
              </w:rPr>
            </w:pPr>
          </w:p>
        </w:tc>
      </w:tr>
      <w:tr w:rsidR="00BB2F46" w14:paraId="2A36BD18" w14:textId="77777777" w:rsidTr="00BB2F46">
        <w:trPr>
          <w:gridAfter w:val="2"/>
          <w:wAfter w:w="5820" w:type="dxa"/>
          <w:trHeight w:val="936"/>
        </w:trPr>
        <w:tc>
          <w:tcPr>
            <w:tcW w:w="3408" w:type="dxa"/>
          </w:tcPr>
          <w:p w14:paraId="34709553"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5E1D6EF6" w14:textId="77777777" w:rsidR="00BB2F46" w:rsidRPr="0097037A" w:rsidRDefault="00BB2F46" w:rsidP="00BB2F46">
            <w:pPr>
              <w:snapToGrid w:val="0"/>
              <w:ind w:right="252"/>
              <w:rPr>
                <w:rFonts w:ascii="Calibri" w:hAnsi="Calibri"/>
                <w:sz w:val="18"/>
              </w:rPr>
            </w:pPr>
          </w:p>
        </w:tc>
      </w:tr>
    </w:tbl>
    <w:p w14:paraId="11010083" w14:textId="77777777" w:rsidR="006A7631" w:rsidRPr="00F266E4" w:rsidRDefault="006A7631" w:rsidP="00386FFB">
      <w:pPr>
        <w:rPr>
          <w:rFonts w:asciiTheme="minorHAnsi" w:hAnsiTheme="minorHAnsi" w:cstheme="minorHAnsi"/>
          <w:b/>
          <w:bCs/>
          <w:color w:val="000000" w:themeColor="text1"/>
          <w:sz w:val="22"/>
          <w:szCs w:val="22"/>
          <w:u w:val="single"/>
          <w:lang w:val="fr-FR" w:bidi="fr-BE"/>
        </w:rPr>
      </w:pPr>
    </w:p>
    <w:p w14:paraId="6E7D5D4E"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5A71709F" w14:textId="77777777" w:rsidR="00352285" w:rsidRDefault="00352285" w:rsidP="00386FFB">
      <w:pPr>
        <w:rPr>
          <w:rFonts w:asciiTheme="minorHAnsi" w:hAnsiTheme="minorHAnsi" w:cstheme="minorHAnsi"/>
          <w:b/>
          <w:bCs/>
          <w:color w:val="000000" w:themeColor="text1"/>
          <w:sz w:val="22"/>
          <w:szCs w:val="22"/>
          <w:u w:val="single"/>
          <w:lang w:val="fr-FR" w:bidi="fr-BE"/>
        </w:rPr>
      </w:pPr>
    </w:p>
    <w:p w14:paraId="4CFA6432" w14:textId="77777777" w:rsidR="006A7631" w:rsidRDefault="006A7631" w:rsidP="00386FFB">
      <w:pPr>
        <w:rPr>
          <w:rFonts w:asciiTheme="minorHAnsi" w:hAnsiTheme="minorHAnsi" w:cstheme="minorHAnsi"/>
          <w:b/>
          <w:bCs/>
          <w:color w:val="000000" w:themeColor="text1"/>
          <w:sz w:val="22"/>
          <w:szCs w:val="22"/>
          <w:lang w:bidi="fr-BE"/>
        </w:rPr>
      </w:pPr>
      <w:bookmarkStart w:id="0" w:name="niveau"/>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3CE2A33D" w14:textId="77777777" w:rsidR="006A7631" w:rsidRDefault="006A7631" w:rsidP="00386FFB">
      <w:pPr>
        <w:rPr>
          <w:rFonts w:asciiTheme="minorHAnsi" w:hAnsiTheme="minorHAnsi" w:cstheme="minorHAnsi"/>
          <w:color w:val="000000" w:themeColor="text1"/>
          <w:sz w:val="22"/>
          <w:szCs w:val="22"/>
          <w:lang w:bidi="fr-BE"/>
        </w:rPr>
      </w:pPr>
      <w:r>
        <w:rPr>
          <w:rFonts w:asciiTheme="minorHAnsi" w:hAnsiTheme="minorHAnsi" w:cstheme="minorHAnsi"/>
          <w:b/>
          <w:bCs/>
          <w:color w:val="000000" w:themeColor="text1"/>
          <w:sz w:val="22"/>
          <w:szCs w:val="22"/>
          <w:lang w:bidi="fr-BE"/>
        </w:rPr>
        <w:t xml:space="preserve"> </w:t>
      </w:r>
    </w:p>
    <w:p w14:paraId="705AF173" w14:textId="6C9E0E63" w:rsidR="006A7631" w:rsidRDefault="007A1E61" w:rsidP="006A7631">
      <w:pPr>
        <w:widowControl/>
        <w:ind w:left="1365"/>
        <w:rPr>
          <w:rFonts w:asciiTheme="minorHAnsi" w:eastAsia="Arial" w:hAnsiTheme="minorHAnsi" w:cstheme="minorHAnsi"/>
          <w:color w:val="000000" w:themeColor="text1"/>
          <w:sz w:val="22"/>
          <w:szCs w:val="22"/>
          <w:lang w:bidi="fr-BE"/>
        </w:rPr>
      </w:pPr>
      <w:bookmarkStart w:id="1" w:name="demandeur"/>
      <w:r>
        <w:rPr>
          <w:rFonts w:asciiTheme="minorHAnsi" w:eastAsia="Arial" w:hAnsiTheme="minorHAnsi" w:cstheme="minorHAnsi"/>
          <w:b/>
          <w:bCs/>
          <w:color w:val="000000" w:themeColor="text1"/>
          <w:sz w:val="22"/>
          <w:szCs w:val="22"/>
          <w:lang w:bidi="fr-BE"/>
        </w:rPr>
        <w:t>La SCRL</w:t>
      </w:r>
      <w:r w:rsidR="000F695F">
        <w:rPr>
          <w:rFonts w:asciiTheme="minorHAnsi" w:eastAsia="Arial" w:hAnsiTheme="minorHAnsi" w:cstheme="minorHAnsi"/>
          <w:b/>
          <w:bCs/>
          <w:color w:val="000000" w:themeColor="text1"/>
          <w:sz w:val="22"/>
          <w:szCs w:val="22"/>
          <w:lang w:bidi="fr-BE"/>
        </w:rPr>
        <w:t xml:space="preserve"> </w:t>
      </w:r>
      <w:r w:rsidR="006A7631">
        <w:rPr>
          <w:rFonts w:asciiTheme="minorHAnsi" w:eastAsia="Arial" w:hAnsiTheme="minorHAnsi" w:cstheme="minorHAnsi"/>
          <w:b/>
          <w:bCs/>
          <w:color w:val="000000" w:themeColor="text1"/>
          <w:sz w:val="22"/>
          <w:szCs w:val="22"/>
          <w:lang w:bidi="fr-BE"/>
        </w:rPr>
        <w:t>DESIGN DIFFUSION</w:t>
      </w:r>
      <w:r>
        <w:rPr>
          <w:rFonts w:asciiTheme="minorHAnsi" w:eastAsia="Arial" w:hAnsiTheme="minorHAnsi" w:cstheme="minorHAnsi"/>
          <w:b/>
          <w:bCs/>
          <w:color w:val="000000" w:themeColor="text1"/>
          <w:sz w:val="22"/>
          <w:szCs w:val="22"/>
          <w:lang w:bidi="fr-BE"/>
        </w:rPr>
        <w:t xml:space="preserve">, </w:t>
      </w:r>
      <w:r>
        <w:rPr>
          <w:rFonts w:asciiTheme="minorHAnsi" w:eastAsia="Arial" w:hAnsiTheme="minorHAnsi" w:cstheme="minorHAnsi"/>
          <w:color w:val="000000" w:themeColor="text1"/>
          <w:sz w:val="22"/>
          <w:szCs w:val="22"/>
          <w:lang w:bidi="fr-BE"/>
        </w:rPr>
        <w:t>inscrite à la B</w:t>
      </w:r>
      <w:r w:rsidR="006A7631">
        <w:rPr>
          <w:rFonts w:asciiTheme="minorHAnsi" w:eastAsia="Arial" w:hAnsiTheme="minorHAnsi" w:cstheme="minorHAnsi"/>
          <w:color w:val="000000" w:themeColor="text1"/>
          <w:sz w:val="22"/>
          <w:szCs w:val="22"/>
          <w:lang w:bidi="fr-BE"/>
        </w:rPr>
        <w:t>CE</w:t>
      </w:r>
      <w:r>
        <w:rPr>
          <w:rFonts w:asciiTheme="minorHAnsi" w:eastAsia="Arial" w:hAnsiTheme="minorHAnsi" w:cstheme="minorHAnsi"/>
          <w:color w:val="000000" w:themeColor="text1"/>
          <w:sz w:val="22"/>
          <w:szCs w:val="22"/>
          <w:lang w:bidi="fr-BE"/>
        </w:rPr>
        <w:t xml:space="preserve"> sous le numéro</w:t>
      </w:r>
      <w:r w:rsidR="006A7631">
        <w:rPr>
          <w:rFonts w:asciiTheme="minorHAnsi" w:eastAsia="Arial" w:hAnsiTheme="minorHAnsi" w:cstheme="minorHAnsi"/>
          <w:color w:val="000000" w:themeColor="text1"/>
          <w:sz w:val="22"/>
          <w:szCs w:val="22"/>
          <w:lang w:bidi="fr-BE"/>
        </w:rPr>
        <w:t xml:space="preserve"> 0440.507.385</w:t>
      </w:r>
      <w:r w:rsidR="006A7631">
        <w:rPr>
          <w:rFonts w:asciiTheme="minorHAnsi" w:eastAsia="Arial" w:hAnsiTheme="minorHAnsi" w:cstheme="minorHAnsi"/>
          <w:sz w:val="22"/>
          <w:szCs w:val="22"/>
          <w:lang w:val="fr-FR" w:bidi="fr-BE"/>
        </w:rPr>
        <w:t>,</w:t>
      </w:r>
      <w:r>
        <w:rPr>
          <w:rFonts w:asciiTheme="minorHAnsi" w:eastAsia="Arial" w:hAnsiTheme="minorHAnsi" w:cstheme="minorHAnsi"/>
          <w:sz w:val="22"/>
          <w:szCs w:val="22"/>
          <w:lang w:val="fr-FR" w:bidi="fr-BE"/>
        </w:rPr>
        <w:t xml:space="preserve"> dont le siège social est sis </w:t>
      </w:r>
      <w:proofErr w:type="spellStart"/>
      <w:r w:rsidR="006A7631">
        <w:rPr>
          <w:rFonts w:asciiTheme="minorHAnsi" w:eastAsia="Arial" w:hAnsiTheme="minorHAnsi" w:cstheme="minorHAnsi"/>
          <w:color w:val="000000" w:themeColor="text1"/>
          <w:sz w:val="22"/>
          <w:szCs w:val="22"/>
          <w:lang w:bidi="fr-BE"/>
        </w:rPr>
        <w:t>Thier</w:t>
      </w:r>
      <w:proofErr w:type="spellEnd"/>
      <w:r w:rsidR="006A7631">
        <w:rPr>
          <w:rFonts w:asciiTheme="minorHAnsi" w:eastAsia="Arial" w:hAnsiTheme="minorHAnsi" w:cstheme="minorHAnsi"/>
          <w:color w:val="000000" w:themeColor="text1"/>
          <w:sz w:val="22"/>
          <w:szCs w:val="22"/>
          <w:lang w:bidi="fr-BE"/>
        </w:rPr>
        <w:t xml:space="preserve"> des Forges 5 à 4140 SPRIMONT</w:t>
      </w:r>
    </w:p>
    <w:p w14:paraId="6BEDB7E5" w14:textId="77777777" w:rsidR="006A7631" w:rsidRDefault="006A7631" w:rsidP="006A7631">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19B4B46B" w14:textId="77777777" w:rsidR="006A7631" w:rsidRDefault="006A7631" w:rsidP="006A7631">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p>
    <w:p w14:paraId="447A39D3" w14:textId="687F0336" w:rsidR="006A7631" w:rsidRDefault="006A7631" w:rsidP="006A7631">
      <w:pPr>
        <w:widowControl/>
        <w:ind w:left="1365"/>
        <w:rPr>
          <w:rFonts w:asciiTheme="minorHAnsi" w:eastAsia="Arial" w:hAnsiTheme="minorHAnsi" w:cstheme="minorHAnsi"/>
          <w:sz w:val="22"/>
          <w:szCs w:val="22"/>
          <w:lang w:bidi="fr-BE"/>
        </w:rPr>
      </w:pPr>
      <w:bookmarkStart w:id="2" w:name="demavoc"/>
      <w:r>
        <w:rPr>
          <w:rFonts w:asciiTheme="minorHAnsi" w:eastAsia="Arial" w:hAnsiTheme="minorHAnsi" w:cstheme="minorHAnsi"/>
          <w:sz w:val="22"/>
          <w:szCs w:val="22"/>
          <w:lang w:bidi="fr-BE"/>
        </w:rPr>
        <w:t xml:space="preserve">ayant </w:t>
      </w:r>
      <w:r w:rsidR="007A1E61">
        <w:rPr>
          <w:rFonts w:asciiTheme="minorHAnsi" w:eastAsia="Arial" w:hAnsiTheme="minorHAnsi" w:cstheme="minorHAnsi"/>
          <w:sz w:val="22"/>
          <w:szCs w:val="22"/>
          <w:lang w:bidi="fr-BE"/>
        </w:rPr>
        <w:t>comparu par son</w:t>
      </w:r>
      <w:r>
        <w:rPr>
          <w:rFonts w:asciiTheme="minorHAnsi" w:eastAsia="Arial" w:hAnsiTheme="minorHAnsi" w:cstheme="minorHAnsi"/>
          <w:sz w:val="22"/>
          <w:szCs w:val="22"/>
          <w:lang w:bidi="fr-BE"/>
        </w:rPr>
        <w:t xml:space="preserve"> conseil Maître GREGOIRE PIERRE, avocat, à 1300  WAVRE, chaussée de Namur 53, </w:t>
      </w:r>
    </w:p>
    <w:bookmarkEnd w:id="2"/>
    <w:p w14:paraId="20091C09" w14:textId="77777777" w:rsidR="006A7631" w:rsidRDefault="006A7631" w:rsidP="006A7631">
      <w:pPr>
        <w:widowControl/>
        <w:ind w:left="1365"/>
        <w:rPr>
          <w:rFonts w:asciiTheme="minorHAnsi" w:eastAsia="Arial" w:hAnsiTheme="minorHAnsi" w:cstheme="minorHAnsi"/>
          <w:sz w:val="22"/>
          <w:szCs w:val="22"/>
          <w:lang w:bidi="fr-BE"/>
        </w:rPr>
      </w:pPr>
    </w:p>
    <w:bookmarkEnd w:id="1"/>
    <w:p w14:paraId="18854A95" w14:textId="77777777" w:rsidR="006A7631" w:rsidRDefault="006A7631" w:rsidP="006A7631">
      <w:pPr>
        <w:widowControl/>
        <w:ind w:left="1350"/>
        <w:jc w:val="both"/>
        <w:rPr>
          <w:rFonts w:asciiTheme="minorHAnsi" w:eastAsia="Arial" w:hAnsiTheme="minorHAnsi" w:cstheme="minorHAnsi"/>
          <w:color w:val="000000" w:themeColor="text1"/>
          <w:sz w:val="22"/>
          <w:szCs w:val="22"/>
          <w:lang w:bidi="fr-BE"/>
        </w:rPr>
      </w:pPr>
    </w:p>
    <w:p w14:paraId="4C8AEA47" w14:textId="77777777" w:rsidR="006A7631" w:rsidRDefault="006A7631" w:rsidP="006A7631">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084A8FD2" w14:textId="77777777" w:rsidR="00DE5550" w:rsidRDefault="00DE5550" w:rsidP="006A7631">
      <w:pPr>
        <w:widowControl/>
        <w:jc w:val="both"/>
        <w:rPr>
          <w:rFonts w:asciiTheme="minorHAnsi" w:eastAsia="Arial" w:hAnsiTheme="minorHAnsi" w:cstheme="minorHAnsi"/>
          <w:b/>
          <w:color w:val="000000" w:themeColor="text1"/>
          <w:sz w:val="22"/>
          <w:szCs w:val="22"/>
          <w:u w:val="single"/>
          <w:lang w:bidi="fr-BE"/>
        </w:rPr>
      </w:pPr>
    </w:p>
    <w:p w14:paraId="2F7C1F97" w14:textId="03C477ED" w:rsidR="006A7631" w:rsidRDefault="000F695F" w:rsidP="006A7631">
      <w:pPr>
        <w:widowControl/>
        <w:ind w:left="1418"/>
        <w:jc w:val="both"/>
        <w:rPr>
          <w:rFonts w:asciiTheme="minorHAnsi" w:eastAsia="Arial" w:hAnsiTheme="minorHAnsi" w:cstheme="minorHAnsi"/>
          <w:color w:val="000000" w:themeColor="text1"/>
          <w:sz w:val="22"/>
          <w:szCs w:val="22"/>
          <w:lang w:bidi="fr-BE"/>
        </w:rPr>
      </w:pPr>
      <w:bookmarkStart w:id="3" w:name="defendeur"/>
      <w:r>
        <w:rPr>
          <w:rFonts w:asciiTheme="minorHAnsi" w:eastAsia="Arial" w:hAnsiTheme="minorHAnsi" w:cstheme="minorHAnsi"/>
          <w:b/>
          <w:bCs/>
          <w:color w:val="000000" w:themeColor="text1"/>
          <w:sz w:val="22"/>
          <w:szCs w:val="22"/>
          <w:lang w:bidi="fr-BE"/>
        </w:rPr>
        <w:t xml:space="preserve"> </w:t>
      </w:r>
      <w:r w:rsidR="0008499A">
        <w:rPr>
          <w:rFonts w:asciiTheme="minorHAnsi" w:eastAsia="Arial" w:hAnsiTheme="minorHAnsi" w:cstheme="minorHAnsi"/>
          <w:b/>
          <w:bCs/>
          <w:color w:val="000000" w:themeColor="text1"/>
          <w:sz w:val="22"/>
          <w:szCs w:val="22"/>
          <w:lang w:bidi="fr-BE"/>
        </w:rPr>
        <w:t>V</w:t>
      </w:r>
      <w:r w:rsidR="006A7631">
        <w:rPr>
          <w:rFonts w:asciiTheme="minorHAnsi" w:eastAsia="Arial" w:hAnsiTheme="minorHAnsi" w:cstheme="minorHAnsi"/>
          <w:sz w:val="22"/>
          <w:szCs w:val="22"/>
          <w:lang w:val="fr-FR" w:bidi="fr-BE"/>
        </w:rPr>
        <w:t>,</w:t>
      </w:r>
      <w:r w:rsidR="006A7631">
        <w:rPr>
          <w:rFonts w:asciiTheme="minorHAnsi" w:eastAsia="Arial" w:hAnsiTheme="minorHAnsi" w:cstheme="minorHAnsi"/>
          <w:color w:val="0000FF"/>
          <w:sz w:val="22"/>
          <w:szCs w:val="22"/>
          <w:lang w:val="fr-FR" w:bidi="fr-BE"/>
        </w:rPr>
        <w:t xml:space="preserve"> </w:t>
      </w:r>
      <w:r w:rsidR="006A7631">
        <w:rPr>
          <w:rFonts w:asciiTheme="minorHAnsi" w:eastAsia="Arial" w:hAnsiTheme="minorHAnsi" w:cstheme="minorHAnsi"/>
          <w:bCs/>
          <w:color w:val="000000" w:themeColor="text1"/>
          <w:sz w:val="22"/>
          <w:szCs w:val="22"/>
          <w:lang w:bidi="fr-BE"/>
        </w:rPr>
        <w:t>(RN: 67</w:t>
      </w:r>
      <w:r w:rsidR="0008499A">
        <w:rPr>
          <w:rFonts w:asciiTheme="minorHAnsi" w:eastAsia="Arial" w:hAnsiTheme="minorHAnsi" w:cstheme="minorHAnsi"/>
          <w:bCs/>
          <w:color w:val="000000" w:themeColor="text1"/>
          <w:sz w:val="22"/>
          <w:szCs w:val="22"/>
          <w:lang w:bidi="fr-BE"/>
        </w:rPr>
        <w:t>……..</w:t>
      </w:r>
      <w:r w:rsidR="006A7631">
        <w:rPr>
          <w:rFonts w:asciiTheme="minorHAnsi" w:eastAsia="Arial" w:hAnsiTheme="minorHAnsi" w:cstheme="minorHAnsi"/>
          <w:bCs/>
          <w:color w:val="000000" w:themeColor="text1"/>
          <w:sz w:val="22"/>
          <w:szCs w:val="22"/>
          <w:lang w:bidi="fr-BE"/>
        </w:rPr>
        <w:t>)</w:t>
      </w:r>
      <w:r w:rsidR="006A7631">
        <w:rPr>
          <w:rFonts w:asciiTheme="minorHAnsi" w:eastAsia="Arial" w:hAnsiTheme="minorHAnsi" w:cstheme="minorHAnsi"/>
          <w:sz w:val="22"/>
          <w:szCs w:val="22"/>
          <w:lang w:val="fr-FR" w:bidi="fr-BE"/>
        </w:rPr>
        <w:t>,</w:t>
      </w:r>
    </w:p>
    <w:p w14:paraId="47D4B574" w14:textId="3A397CE3" w:rsidR="006A7631" w:rsidRDefault="006A7631" w:rsidP="006A7631">
      <w:pPr>
        <w:widowControl/>
        <w:ind w:left="1418"/>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Avenue </w:t>
      </w:r>
      <w:r w:rsidR="0008499A">
        <w:rPr>
          <w:rFonts w:asciiTheme="minorHAnsi" w:eastAsia="Arial" w:hAnsiTheme="minorHAnsi" w:cstheme="minorHAnsi"/>
          <w:color w:val="000000" w:themeColor="text1"/>
          <w:sz w:val="22"/>
          <w:szCs w:val="22"/>
          <w:lang w:bidi="fr-BE"/>
        </w:rPr>
        <w:t>…….</w:t>
      </w:r>
    </w:p>
    <w:p w14:paraId="4641F590" w14:textId="77777777" w:rsidR="006A7631" w:rsidRDefault="006A7631" w:rsidP="006A7631">
      <w:pPr>
        <w:widowControl/>
        <w:ind w:left="1418"/>
        <w:rPr>
          <w:rFonts w:asciiTheme="minorHAnsi" w:eastAsia="Arial" w:hAnsiTheme="minorHAnsi" w:cstheme="minorHAnsi"/>
          <w:color w:val="000000" w:themeColor="text1"/>
          <w:sz w:val="22"/>
          <w:szCs w:val="22"/>
          <w:lang w:bidi="fr-BE"/>
        </w:rPr>
      </w:pPr>
    </w:p>
    <w:p w14:paraId="6B7667A8" w14:textId="494233D1" w:rsidR="006A7631" w:rsidRDefault="006A7631" w:rsidP="006A7631">
      <w:pPr>
        <w:widowControl/>
        <w:ind w:left="1418"/>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007A1E61">
        <w:rPr>
          <w:rFonts w:asciiTheme="minorHAnsi" w:eastAsia="Arial" w:hAnsiTheme="minorHAnsi" w:cstheme="minorHAnsi"/>
          <w:sz w:val="22"/>
          <w:szCs w:val="22"/>
          <w:lang w:bidi="fr-BE"/>
        </w:rPr>
        <w:t>faisant défaut</w:t>
      </w:r>
    </w:p>
    <w:p w14:paraId="387389C6" w14:textId="77777777" w:rsidR="006A7631" w:rsidRPr="00CC17BF" w:rsidRDefault="006A7631" w:rsidP="008F7873">
      <w:pPr>
        <w:widowControl/>
        <w:ind w:left="1365"/>
        <w:rPr>
          <w:rFonts w:asciiTheme="minorHAnsi" w:eastAsia="Arial" w:hAnsiTheme="minorHAnsi" w:cstheme="minorHAnsi"/>
          <w:color w:val="000000" w:themeColor="text1"/>
          <w:sz w:val="12"/>
          <w:szCs w:val="12"/>
          <w:lang w:bidi="fr-BE"/>
        </w:rPr>
      </w:pPr>
    </w:p>
    <w:bookmarkEnd w:id="3"/>
    <w:p w14:paraId="43794094" w14:textId="77777777" w:rsidR="00040495" w:rsidRDefault="00040495"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bookmarkEnd w:id="0"/>
    <w:p w14:paraId="1DAF4AD4" w14:textId="77777777" w:rsidR="00CC17BF" w:rsidRPr="00CC17BF" w:rsidRDefault="00CC17BF" w:rsidP="006A7631">
      <w:pPr>
        <w:widowControl/>
        <w:pBdr>
          <w:bottom w:val="single" w:sz="6" w:space="1" w:color="auto"/>
        </w:pBdr>
        <w:jc w:val="both"/>
        <w:rPr>
          <w:rFonts w:asciiTheme="minorHAnsi" w:eastAsia="Arial" w:hAnsiTheme="minorHAnsi" w:cstheme="minorHAnsi"/>
          <w:color w:val="000000" w:themeColor="text1"/>
          <w:sz w:val="12"/>
          <w:szCs w:val="12"/>
          <w:lang w:bidi="fr-BE"/>
        </w:rPr>
      </w:pPr>
    </w:p>
    <w:p w14:paraId="610BA599" w14:textId="77777777" w:rsidR="004A70E3" w:rsidRDefault="004A70E3" w:rsidP="006A7631">
      <w:pPr>
        <w:pStyle w:val="Textebrut"/>
        <w:tabs>
          <w:tab w:val="left" w:pos="1843"/>
        </w:tabs>
        <w:jc w:val="both"/>
        <w:rPr>
          <w:rFonts w:asciiTheme="minorHAnsi" w:hAnsiTheme="minorHAnsi" w:cstheme="minorHAnsi"/>
          <w:sz w:val="22"/>
          <w:szCs w:val="22"/>
          <w:lang w:val="fr-FR"/>
        </w:rPr>
      </w:pPr>
    </w:p>
    <w:p w14:paraId="05C9FDE0" w14:textId="5C5E4006" w:rsidR="006A7631" w:rsidRPr="004A70E3" w:rsidRDefault="004A70E3" w:rsidP="004A70E3">
      <w:pPr>
        <w:pStyle w:val="Textebrut"/>
        <w:numPr>
          <w:ilvl w:val="0"/>
          <w:numId w:val="10"/>
        </w:numPr>
        <w:tabs>
          <w:tab w:val="left" w:pos="1843"/>
        </w:tabs>
        <w:jc w:val="both"/>
        <w:rPr>
          <w:rFonts w:asciiTheme="minorHAnsi" w:hAnsiTheme="minorHAnsi" w:cstheme="minorHAnsi"/>
          <w:b/>
          <w:bCs/>
          <w:sz w:val="24"/>
          <w:szCs w:val="24"/>
          <w:u w:val="single"/>
        </w:rPr>
      </w:pPr>
      <w:r w:rsidRPr="004A70E3">
        <w:rPr>
          <w:rFonts w:asciiTheme="minorHAnsi" w:hAnsiTheme="minorHAnsi" w:cstheme="minorHAnsi"/>
          <w:b/>
          <w:bCs/>
          <w:sz w:val="22"/>
          <w:szCs w:val="22"/>
          <w:u w:val="single"/>
          <w:lang w:val="fr-FR"/>
        </w:rPr>
        <w:t>La procéd</w:t>
      </w:r>
      <w:r w:rsidR="00534B59">
        <w:rPr>
          <w:rFonts w:asciiTheme="minorHAnsi" w:hAnsiTheme="minorHAnsi" w:cstheme="minorHAnsi"/>
          <w:b/>
          <w:bCs/>
          <w:sz w:val="22"/>
          <w:szCs w:val="22"/>
          <w:u w:val="single"/>
          <w:lang w:val="fr-FR"/>
        </w:rPr>
        <w:t>u</w:t>
      </w:r>
      <w:r w:rsidRPr="004A70E3">
        <w:rPr>
          <w:rFonts w:asciiTheme="minorHAnsi" w:hAnsiTheme="minorHAnsi" w:cstheme="minorHAnsi"/>
          <w:b/>
          <w:bCs/>
          <w:sz w:val="22"/>
          <w:szCs w:val="22"/>
          <w:u w:val="single"/>
          <w:lang w:val="fr-FR"/>
        </w:rPr>
        <w:t>re</w:t>
      </w:r>
    </w:p>
    <w:p w14:paraId="311D3259" w14:textId="77777777" w:rsidR="006A7631" w:rsidRPr="006C22FE" w:rsidRDefault="006A7631" w:rsidP="006A7631">
      <w:pPr>
        <w:pStyle w:val="Textebrut"/>
        <w:tabs>
          <w:tab w:val="left" w:pos="1843"/>
        </w:tabs>
        <w:jc w:val="both"/>
        <w:rPr>
          <w:rFonts w:asciiTheme="minorHAnsi" w:hAnsiTheme="minorHAnsi" w:cstheme="minorHAnsi"/>
          <w:sz w:val="24"/>
          <w:szCs w:val="24"/>
        </w:rPr>
      </w:pPr>
    </w:p>
    <w:p w14:paraId="48214E1C"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40BE507A" w14:textId="77777777" w:rsidR="006A7631" w:rsidRPr="006C22FE" w:rsidRDefault="006A7631" w:rsidP="006A7631">
      <w:pPr>
        <w:pStyle w:val="Textebrut"/>
        <w:tabs>
          <w:tab w:val="left" w:pos="1843"/>
        </w:tabs>
        <w:jc w:val="both"/>
        <w:rPr>
          <w:rFonts w:asciiTheme="minorHAnsi" w:hAnsiTheme="minorHAnsi" w:cstheme="minorHAnsi"/>
          <w:sz w:val="22"/>
          <w:szCs w:val="22"/>
          <w:lang w:val="fr-FR"/>
        </w:rPr>
      </w:pPr>
    </w:p>
    <w:p w14:paraId="60223D06"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Vu les pièces du dossier de la procédure, à la clôture des débats, et notamment :</w:t>
      </w:r>
    </w:p>
    <w:p w14:paraId="1C8BEDD1"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3F2F2E36" w14:textId="23DCDE19"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la requête introductive d’instance reçue au greffe le </w:t>
      </w:r>
      <w:r w:rsidR="007A1E61">
        <w:rPr>
          <w:rFonts w:asciiTheme="minorHAnsi" w:eastAsia="Times New Roman" w:hAnsiTheme="minorHAnsi" w:cstheme="minorHAnsi"/>
          <w:b/>
          <w:kern w:val="0"/>
          <w:sz w:val="22"/>
          <w:szCs w:val="22"/>
          <w:lang w:val="fr-FR" w:eastAsia="en-US"/>
        </w:rPr>
        <w:t>25/04/2022</w:t>
      </w:r>
      <w:r w:rsidRPr="006C22FE">
        <w:rPr>
          <w:rFonts w:asciiTheme="minorHAnsi" w:eastAsia="Times New Roman" w:hAnsiTheme="minorHAnsi" w:cstheme="minorHAnsi"/>
          <w:kern w:val="0"/>
          <w:sz w:val="22"/>
          <w:szCs w:val="22"/>
          <w:lang w:val="fr-FR" w:eastAsia="en-US"/>
        </w:rPr>
        <w:t> ;</w:t>
      </w:r>
    </w:p>
    <w:p w14:paraId="100CABCE" w14:textId="0F35F8C7" w:rsidR="006A7631" w:rsidRPr="006C22FE" w:rsidRDefault="007A1E6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jugement prononcé le </w:t>
      </w:r>
      <w:r>
        <w:rPr>
          <w:rFonts w:asciiTheme="minorHAnsi" w:eastAsia="Times New Roman" w:hAnsiTheme="minorHAnsi" w:cstheme="minorHAnsi"/>
          <w:b/>
          <w:bCs/>
          <w:kern w:val="0"/>
          <w:sz w:val="22"/>
          <w:szCs w:val="22"/>
          <w:lang w:val="fr-FR" w:eastAsia="en-US"/>
        </w:rPr>
        <w:t>21/06/2022</w:t>
      </w:r>
      <w:r>
        <w:rPr>
          <w:rFonts w:asciiTheme="minorHAnsi" w:eastAsia="Times New Roman" w:hAnsiTheme="minorHAnsi" w:cstheme="minorHAnsi"/>
          <w:kern w:val="0"/>
          <w:sz w:val="22"/>
          <w:szCs w:val="22"/>
          <w:lang w:val="fr-FR" w:eastAsia="en-US"/>
        </w:rPr>
        <w:t xml:space="preserve"> renvoyant l’affaire devant le Tribunal d’arrondissement de Liège ;</w:t>
      </w:r>
    </w:p>
    <w:p w14:paraId="49F914A5" w14:textId="0B8BC23A"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 xml:space="preserve">les conclusions de la partie demanderesse reçues au greffe le </w:t>
      </w:r>
      <w:r w:rsidR="007A1E61">
        <w:rPr>
          <w:rFonts w:asciiTheme="minorHAnsi" w:eastAsia="Times New Roman" w:hAnsiTheme="minorHAnsi" w:cstheme="minorHAnsi"/>
          <w:b/>
          <w:kern w:val="0"/>
          <w:sz w:val="22"/>
          <w:szCs w:val="22"/>
          <w:lang w:val="fr-FR" w:eastAsia="en-US"/>
        </w:rPr>
        <w:t>05/09/2022</w:t>
      </w:r>
      <w:r w:rsidRPr="006C22FE">
        <w:rPr>
          <w:rFonts w:asciiTheme="minorHAnsi" w:eastAsia="Times New Roman" w:hAnsiTheme="minorHAnsi" w:cstheme="minorHAnsi"/>
          <w:kern w:val="0"/>
          <w:sz w:val="22"/>
          <w:szCs w:val="22"/>
          <w:lang w:val="fr-FR" w:eastAsia="en-US"/>
        </w:rPr>
        <w:t> ;</w:t>
      </w:r>
    </w:p>
    <w:p w14:paraId="7399E3C4" w14:textId="4280594D" w:rsidR="006A7631" w:rsidRPr="006C22FE" w:rsidRDefault="007A1E6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 xml:space="preserve">le jugement du Tribunal d’arrondissement de Liège prononcé le </w:t>
      </w:r>
      <w:r w:rsidRPr="007A1E61">
        <w:rPr>
          <w:rFonts w:asciiTheme="minorHAnsi" w:eastAsia="Times New Roman" w:hAnsiTheme="minorHAnsi" w:cstheme="minorHAnsi"/>
          <w:b/>
          <w:bCs/>
          <w:kern w:val="0"/>
          <w:sz w:val="22"/>
          <w:szCs w:val="22"/>
          <w:lang w:val="fr-FR" w:eastAsia="en-US"/>
        </w:rPr>
        <w:t>22/12/2022</w:t>
      </w:r>
      <w:r>
        <w:rPr>
          <w:rFonts w:asciiTheme="minorHAnsi" w:eastAsia="Times New Roman" w:hAnsiTheme="minorHAnsi" w:cstheme="minorHAnsi"/>
          <w:kern w:val="0"/>
          <w:sz w:val="22"/>
          <w:szCs w:val="22"/>
          <w:lang w:val="fr-FR" w:eastAsia="en-US"/>
        </w:rPr>
        <w:t xml:space="preserve"> renvoyant l’affaire devant le Tribunal du Travail de Liège – Division Liège ;</w:t>
      </w:r>
    </w:p>
    <w:p w14:paraId="71C3D0A2" w14:textId="77777777" w:rsidR="006A7631" w:rsidRPr="006C22FE" w:rsidRDefault="006A7631" w:rsidP="006A763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6C22FE">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6C22FE">
        <w:rPr>
          <w:rFonts w:asciiTheme="minorHAnsi" w:eastAsia="Times New Roman" w:hAnsiTheme="minorHAnsi" w:cstheme="minorHAnsi"/>
          <w:kern w:val="0"/>
          <w:sz w:val="22"/>
          <w:szCs w:val="22"/>
          <w:lang w:val="fr-FR" w:eastAsia="en-US"/>
        </w:rPr>
        <w:t>;</w:t>
      </w:r>
    </w:p>
    <w:p w14:paraId="125292C5" w14:textId="77777777" w:rsidR="006A7631" w:rsidRPr="006C22FE" w:rsidRDefault="006A7631" w:rsidP="006A7631">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0952FD0A" w14:textId="576A535B" w:rsidR="006A7631" w:rsidRDefault="007A1E61" w:rsidP="006A7631">
      <w:pPr>
        <w:jc w:val="both"/>
        <w:rPr>
          <w:rFonts w:ascii="Calibri" w:hAnsi="Calibri" w:cs="Calibri"/>
          <w:sz w:val="22"/>
          <w:szCs w:val="22"/>
        </w:rPr>
      </w:pPr>
      <w:r>
        <w:rPr>
          <w:rFonts w:ascii="Calibri" w:hAnsi="Calibri" w:cs="Calibri"/>
          <w:sz w:val="22"/>
          <w:szCs w:val="22"/>
        </w:rPr>
        <w:t xml:space="preserve">La cause a été appelée à l’audience publique du </w:t>
      </w:r>
      <w:r w:rsidRPr="007A1E61">
        <w:rPr>
          <w:rFonts w:ascii="Calibri" w:hAnsi="Calibri" w:cs="Calibri"/>
          <w:b/>
          <w:bCs/>
          <w:sz w:val="22"/>
          <w:szCs w:val="22"/>
        </w:rPr>
        <w:t>03/02/2023</w:t>
      </w:r>
      <w:r>
        <w:rPr>
          <w:rFonts w:ascii="Calibri" w:hAnsi="Calibri" w:cs="Calibri"/>
          <w:sz w:val="22"/>
          <w:szCs w:val="22"/>
        </w:rPr>
        <w:t>, au cours de laquelle la représentante de la partie demanderesse a été entendue en ses dires et moyens, la partie défenderesse</w:t>
      </w:r>
      <w:r w:rsidR="00534B59">
        <w:rPr>
          <w:rFonts w:ascii="Calibri" w:hAnsi="Calibri" w:cs="Calibri"/>
          <w:sz w:val="22"/>
          <w:szCs w:val="22"/>
        </w:rPr>
        <w:t>,</w:t>
      </w:r>
      <w:r>
        <w:rPr>
          <w:rFonts w:ascii="Calibri" w:hAnsi="Calibri" w:cs="Calibri"/>
          <w:sz w:val="22"/>
          <w:szCs w:val="22"/>
        </w:rPr>
        <w:t xml:space="preserve"> quoique régulièrement convoquée et appelée, ne comparaissant pas, les débats ont été clos et la cause prise en délibéré.   </w:t>
      </w:r>
    </w:p>
    <w:p w14:paraId="236AEA8E" w14:textId="77777777" w:rsidR="007A1E61" w:rsidRPr="006C22FE" w:rsidRDefault="007A1E61" w:rsidP="006A7631">
      <w:pPr>
        <w:jc w:val="both"/>
        <w:rPr>
          <w:rFonts w:asciiTheme="minorHAnsi" w:hAnsiTheme="minorHAnsi" w:cstheme="minorHAnsi"/>
          <w:snapToGrid w:val="0"/>
          <w:sz w:val="22"/>
          <w:szCs w:val="22"/>
          <w:lang w:eastAsia="fr-FR"/>
        </w:rPr>
      </w:pPr>
    </w:p>
    <w:p w14:paraId="3BEAA5B8" w14:textId="77777777" w:rsidR="007A1E61" w:rsidRPr="004A70E3" w:rsidRDefault="007A1E61" w:rsidP="004A70E3">
      <w:pPr>
        <w:pStyle w:val="Paragraphedeliste"/>
        <w:widowControl/>
        <w:numPr>
          <w:ilvl w:val="0"/>
          <w:numId w:val="10"/>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4A70E3">
        <w:rPr>
          <w:rFonts w:ascii="Calibri" w:eastAsia="Calibri" w:hAnsi="Calibri" w:cs="Calibri"/>
          <w:b/>
          <w:kern w:val="0"/>
          <w:sz w:val="22"/>
          <w:szCs w:val="22"/>
          <w:u w:val="single"/>
          <w:lang w:eastAsia="en-US"/>
        </w:rPr>
        <w:t>Les faits, la position des parties et les demandes</w:t>
      </w:r>
    </w:p>
    <w:p w14:paraId="33E447A8" w14:textId="77777777" w:rsidR="007A1E61" w:rsidRPr="007A1E61" w:rsidRDefault="007A1E61" w:rsidP="007A1E61">
      <w:pPr>
        <w:widowControl/>
        <w:suppressAutoHyphens w:val="0"/>
        <w:autoSpaceDN/>
        <w:spacing w:after="160" w:line="256" w:lineRule="auto"/>
        <w:ind w:left="720"/>
        <w:contextualSpacing/>
        <w:jc w:val="both"/>
        <w:textAlignment w:val="auto"/>
        <w:rPr>
          <w:rFonts w:ascii="Calibri" w:eastAsia="Calibri" w:hAnsi="Calibri" w:cs="Calibri"/>
          <w:bCs/>
          <w:kern w:val="0"/>
          <w:sz w:val="22"/>
          <w:szCs w:val="22"/>
          <w:lang w:eastAsia="en-US"/>
        </w:rPr>
      </w:pPr>
    </w:p>
    <w:p w14:paraId="579DBA44"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1.</w:t>
      </w:r>
    </w:p>
    <w:p w14:paraId="58FFB26C" w14:textId="3D9DDC4C"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 xml:space="preserve">Monsieur  </w:t>
      </w:r>
      <w:r w:rsidR="0008499A">
        <w:rPr>
          <w:rFonts w:ascii="Calibri" w:eastAsia="Calibri" w:hAnsi="Calibri" w:cs="Calibri"/>
          <w:kern w:val="0"/>
          <w:sz w:val="22"/>
          <w:szCs w:val="22"/>
          <w:shd w:val="clear" w:color="auto" w:fill="FFFFFF"/>
          <w:lang w:eastAsia="en-US"/>
        </w:rPr>
        <w:t xml:space="preserve">V </w:t>
      </w:r>
      <w:r w:rsidRPr="007A1E61">
        <w:rPr>
          <w:rFonts w:ascii="Calibri" w:eastAsia="Calibri" w:hAnsi="Calibri" w:cs="Calibri"/>
          <w:kern w:val="0"/>
          <w:sz w:val="22"/>
          <w:szCs w:val="22"/>
          <w:shd w:val="clear" w:color="auto" w:fill="FFFFFF"/>
          <w:lang w:eastAsia="en-US"/>
        </w:rPr>
        <w:t xml:space="preserve">était occupé par la SCRL DESIGN DIFFUSION, dans le cadre d’un contrat de travail à durée indéterminée en qualité d’employé. Il exerçait les fonctions de « responsable comptable ». </w:t>
      </w:r>
    </w:p>
    <w:p w14:paraId="646CAC67" w14:textId="7C955AC1"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La société DESIGN DIFFUSION exploite une entreprise de vente de télécom (magasin</w:t>
      </w:r>
      <w:r w:rsidR="00534B59">
        <w:rPr>
          <w:rFonts w:ascii="Calibri" w:eastAsia="Calibri" w:hAnsi="Calibri" w:cs="Calibri"/>
          <w:kern w:val="0"/>
          <w:sz w:val="22"/>
          <w:szCs w:val="22"/>
          <w:shd w:val="clear" w:color="auto" w:fill="FFFFFF"/>
          <w:lang w:eastAsia="en-US"/>
        </w:rPr>
        <w:t>s</w:t>
      </w:r>
      <w:r w:rsidRPr="007A1E61">
        <w:rPr>
          <w:rFonts w:ascii="Calibri" w:eastAsia="Calibri" w:hAnsi="Calibri" w:cs="Calibri"/>
          <w:kern w:val="0"/>
          <w:sz w:val="22"/>
          <w:szCs w:val="22"/>
          <w:shd w:val="clear" w:color="auto" w:fill="FFFFFF"/>
          <w:lang w:eastAsia="en-US"/>
        </w:rPr>
        <w:t xml:space="preserve"> ORANGE) </w:t>
      </w:r>
    </w:p>
    <w:p w14:paraId="381EDD16" w14:textId="5B4CBEDB"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lastRenderedPageBreak/>
        <w:t xml:space="preserve">Le 7 juin 2021, l’employeur met fin au contrat de travail pour motif grave, suite à la découverte d’éléments suspects dans sa comptabilité. Alors que les motifs du licenciement sont </w:t>
      </w:r>
      <w:r w:rsidR="00534B59">
        <w:rPr>
          <w:rFonts w:ascii="Calibri" w:eastAsia="Calibri" w:hAnsi="Calibri" w:cs="Calibri"/>
          <w:kern w:val="0"/>
          <w:sz w:val="22"/>
          <w:szCs w:val="22"/>
          <w:shd w:val="clear" w:color="auto" w:fill="FFFFFF"/>
          <w:lang w:eastAsia="en-US"/>
        </w:rPr>
        <w:t xml:space="preserve">valablement </w:t>
      </w:r>
      <w:r w:rsidRPr="007A1E61">
        <w:rPr>
          <w:rFonts w:ascii="Calibri" w:eastAsia="Calibri" w:hAnsi="Calibri" w:cs="Calibri"/>
          <w:kern w:val="0"/>
          <w:sz w:val="22"/>
          <w:szCs w:val="22"/>
          <w:shd w:val="clear" w:color="auto" w:fill="FFFFFF"/>
          <w:lang w:eastAsia="en-US"/>
        </w:rPr>
        <w:t xml:space="preserve">notifiés le 9 juin suivant, </w:t>
      </w:r>
      <w:r w:rsidR="00534B59">
        <w:rPr>
          <w:rFonts w:ascii="Calibri" w:eastAsia="Calibri" w:hAnsi="Calibri" w:cs="Calibri"/>
          <w:kern w:val="0"/>
          <w:sz w:val="22"/>
          <w:szCs w:val="22"/>
          <w:shd w:val="clear" w:color="auto" w:fill="FFFFFF"/>
          <w:lang w:eastAsia="en-US"/>
        </w:rPr>
        <w:t>l</w:t>
      </w:r>
      <w:r w:rsidRPr="007A1E61">
        <w:rPr>
          <w:rFonts w:ascii="Calibri" w:eastAsia="Calibri" w:hAnsi="Calibri" w:cs="Calibri"/>
          <w:kern w:val="0"/>
          <w:sz w:val="22"/>
          <w:szCs w:val="22"/>
          <w:shd w:val="clear" w:color="auto" w:fill="FFFFFF"/>
          <w:lang w:eastAsia="en-US"/>
        </w:rPr>
        <w:t xml:space="preserve">e licenciement n’est pas contesté par </w:t>
      </w:r>
      <w:r>
        <w:rPr>
          <w:rFonts w:ascii="Calibri" w:eastAsia="Calibri" w:hAnsi="Calibri" w:cs="Calibri"/>
          <w:kern w:val="0"/>
          <w:sz w:val="22"/>
          <w:szCs w:val="22"/>
          <w:shd w:val="clear" w:color="auto" w:fill="FFFFFF"/>
          <w:lang w:eastAsia="en-US"/>
        </w:rPr>
        <w:t>M</w:t>
      </w:r>
      <w:r w:rsidRPr="007A1E61">
        <w:rPr>
          <w:rFonts w:ascii="Calibri" w:eastAsia="Calibri" w:hAnsi="Calibri" w:cs="Calibri"/>
          <w:kern w:val="0"/>
          <w:sz w:val="22"/>
          <w:szCs w:val="22"/>
          <w:shd w:val="clear" w:color="auto" w:fill="FFFFFF"/>
          <w:lang w:eastAsia="en-US"/>
        </w:rPr>
        <w:t xml:space="preserve">onsieur V. </w:t>
      </w:r>
    </w:p>
    <w:p w14:paraId="13145D87" w14:textId="6C19337D"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 xml:space="preserve">Lors de l’entretien préalable à </w:t>
      </w:r>
      <w:r w:rsidR="00534B59">
        <w:rPr>
          <w:rFonts w:ascii="Calibri" w:eastAsia="Calibri" w:hAnsi="Calibri" w:cs="Calibri"/>
          <w:kern w:val="0"/>
          <w:sz w:val="22"/>
          <w:szCs w:val="22"/>
          <w:shd w:val="clear" w:color="auto" w:fill="FFFFFF"/>
          <w:lang w:eastAsia="en-US"/>
        </w:rPr>
        <w:t>ce</w:t>
      </w:r>
      <w:r w:rsidRPr="007A1E61">
        <w:rPr>
          <w:rFonts w:ascii="Calibri" w:eastAsia="Calibri" w:hAnsi="Calibri" w:cs="Calibri"/>
          <w:kern w:val="0"/>
          <w:sz w:val="22"/>
          <w:szCs w:val="22"/>
          <w:shd w:val="clear" w:color="auto" w:fill="FFFFFF"/>
          <w:lang w:eastAsia="en-US"/>
        </w:rPr>
        <w:t xml:space="preserve"> licenciement, </w:t>
      </w:r>
      <w:r>
        <w:rPr>
          <w:rFonts w:ascii="Calibri" w:eastAsia="Calibri" w:hAnsi="Calibri" w:cs="Calibri"/>
          <w:kern w:val="0"/>
          <w:sz w:val="22"/>
          <w:szCs w:val="22"/>
          <w:shd w:val="clear" w:color="auto" w:fill="FFFFFF"/>
          <w:lang w:eastAsia="en-US"/>
        </w:rPr>
        <w:t>M</w:t>
      </w:r>
      <w:r w:rsidRPr="007A1E61">
        <w:rPr>
          <w:rFonts w:ascii="Calibri" w:eastAsia="Calibri" w:hAnsi="Calibri" w:cs="Calibri"/>
          <w:kern w:val="0"/>
          <w:sz w:val="22"/>
          <w:szCs w:val="22"/>
          <w:shd w:val="clear" w:color="auto" w:fill="FFFFFF"/>
          <w:lang w:eastAsia="en-US"/>
        </w:rPr>
        <w:t xml:space="preserve">onsieur </w:t>
      </w:r>
      <w:r w:rsidR="0008499A">
        <w:rPr>
          <w:rFonts w:ascii="Calibri" w:eastAsia="Calibri" w:hAnsi="Calibri" w:cs="Calibri"/>
          <w:kern w:val="0"/>
          <w:sz w:val="22"/>
          <w:szCs w:val="22"/>
          <w:shd w:val="clear" w:color="auto" w:fill="FFFFFF"/>
          <w:lang w:eastAsia="en-US"/>
        </w:rPr>
        <w:t xml:space="preserve">V </w:t>
      </w:r>
      <w:r w:rsidRPr="007A1E61">
        <w:rPr>
          <w:rFonts w:ascii="Calibri" w:eastAsia="Calibri" w:hAnsi="Calibri" w:cs="Calibri"/>
          <w:kern w:val="0"/>
          <w:sz w:val="22"/>
          <w:szCs w:val="22"/>
          <w:shd w:val="clear" w:color="auto" w:fill="FFFFFF"/>
          <w:lang w:eastAsia="en-US"/>
        </w:rPr>
        <w:t>rédige le document suivant :</w:t>
      </w:r>
    </w:p>
    <w:p w14:paraId="0F54B0EE"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p>
    <w:p w14:paraId="3F14465F" w14:textId="4C2F23CF"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noProof/>
          <w:kern w:val="0"/>
          <w:sz w:val="22"/>
          <w:szCs w:val="22"/>
          <w:lang w:eastAsia="en-US"/>
        </w:rPr>
        <w:drawing>
          <wp:anchor distT="0" distB="0" distL="114300" distR="114300" simplePos="0" relativeHeight="251660288" behindDoc="0" locked="0" layoutInCell="1" allowOverlap="1" wp14:anchorId="2634ECB1" wp14:editId="5769019D">
            <wp:simplePos x="0" y="0"/>
            <wp:positionH relativeFrom="column">
              <wp:align>left</wp:align>
            </wp:positionH>
            <wp:positionV relativeFrom="paragraph">
              <wp:align>top</wp:align>
            </wp:positionV>
            <wp:extent cx="1603375" cy="2238375"/>
            <wp:effectExtent l="0" t="0" r="15875" b="952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03375" cy="2238375"/>
                    </a:xfrm>
                    <a:prstGeom prst="rect">
                      <a:avLst/>
                    </a:prstGeom>
                    <a:noFill/>
                  </pic:spPr>
                </pic:pic>
              </a:graphicData>
            </a:graphic>
            <wp14:sizeRelH relativeFrom="page">
              <wp14:pctWidth>0</wp14:pctWidth>
            </wp14:sizeRelH>
            <wp14:sizeRelV relativeFrom="page">
              <wp14:pctHeight>0</wp14:pctHeight>
            </wp14:sizeRelV>
          </wp:anchor>
        </w:drawing>
      </w:r>
      <w:r w:rsidRPr="007A1E61">
        <w:rPr>
          <w:rFonts w:ascii="Calibri" w:eastAsia="Calibri" w:hAnsi="Calibri" w:cs="Calibri"/>
          <w:kern w:val="0"/>
          <w:sz w:val="22"/>
          <w:szCs w:val="22"/>
          <w:shd w:val="clear" w:color="auto" w:fill="FFFFFF"/>
          <w:lang w:eastAsia="en-US"/>
        </w:rPr>
        <w:t>« </w:t>
      </w:r>
      <w:r w:rsidRPr="007A1E61">
        <w:rPr>
          <w:rFonts w:ascii="Calibri" w:eastAsia="Calibri" w:hAnsi="Calibri" w:cs="Calibri"/>
          <w:i/>
          <w:iCs/>
          <w:kern w:val="0"/>
          <w:sz w:val="22"/>
          <w:szCs w:val="22"/>
          <w:shd w:val="clear" w:color="auto" w:fill="FFFFFF"/>
          <w:lang w:eastAsia="en-US"/>
        </w:rPr>
        <w:t xml:space="preserve">Je soussigné, </w:t>
      </w:r>
      <w:r w:rsidR="0008499A">
        <w:rPr>
          <w:rFonts w:ascii="Calibri" w:eastAsia="Calibri" w:hAnsi="Calibri" w:cs="Calibri"/>
          <w:i/>
          <w:iCs/>
          <w:kern w:val="0"/>
          <w:sz w:val="22"/>
          <w:szCs w:val="22"/>
          <w:shd w:val="clear" w:color="auto" w:fill="FFFFFF"/>
          <w:lang w:eastAsia="en-US"/>
        </w:rPr>
        <w:t>V</w:t>
      </w:r>
      <w:r w:rsidRPr="007A1E61">
        <w:rPr>
          <w:rFonts w:ascii="Calibri" w:eastAsia="Calibri" w:hAnsi="Calibri" w:cs="Calibri"/>
          <w:i/>
          <w:iCs/>
          <w:kern w:val="0"/>
          <w:sz w:val="22"/>
          <w:szCs w:val="22"/>
          <w:shd w:val="clear" w:color="auto" w:fill="FFFFFF"/>
          <w:lang w:eastAsia="en-US"/>
        </w:rPr>
        <w:t xml:space="preserve">, déclare remettre une offre à </w:t>
      </w:r>
      <w:r>
        <w:rPr>
          <w:rFonts w:ascii="Calibri" w:eastAsia="Calibri" w:hAnsi="Calibri" w:cs="Calibri"/>
          <w:i/>
          <w:iCs/>
          <w:kern w:val="0"/>
          <w:sz w:val="22"/>
          <w:szCs w:val="22"/>
          <w:shd w:val="clear" w:color="auto" w:fill="FFFFFF"/>
          <w:lang w:eastAsia="en-US"/>
        </w:rPr>
        <w:t>M</w:t>
      </w:r>
      <w:r w:rsidRPr="007A1E61">
        <w:rPr>
          <w:rFonts w:ascii="Calibri" w:eastAsia="Calibri" w:hAnsi="Calibri" w:cs="Calibri"/>
          <w:i/>
          <w:iCs/>
          <w:kern w:val="0"/>
          <w:sz w:val="22"/>
          <w:szCs w:val="22"/>
          <w:shd w:val="clear" w:color="auto" w:fill="FFFFFF"/>
          <w:lang w:eastAsia="en-US"/>
        </w:rPr>
        <w:t>adame</w:t>
      </w:r>
      <w:r w:rsidR="00CB1D52">
        <w:rPr>
          <w:rFonts w:ascii="Calibri" w:eastAsia="Calibri" w:hAnsi="Calibri" w:cs="Calibri"/>
          <w:i/>
          <w:iCs/>
          <w:kern w:val="0"/>
          <w:sz w:val="22"/>
          <w:szCs w:val="22"/>
          <w:shd w:val="clear" w:color="auto" w:fill="FFFFFF"/>
          <w:lang w:eastAsia="en-US"/>
        </w:rPr>
        <w:t xml:space="preserve"> </w:t>
      </w:r>
      <w:r w:rsidRPr="007A1E61">
        <w:rPr>
          <w:rFonts w:ascii="Calibri" w:eastAsia="Calibri" w:hAnsi="Calibri" w:cs="Calibri"/>
          <w:i/>
          <w:iCs/>
          <w:kern w:val="0"/>
          <w:sz w:val="22"/>
          <w:szCs w:val="22"/>
          <w:shd w:val="clear" w:color="auto" w:fill="FFFFFF"/>
          <w:lang w:eastAsia="en-US"/>
        </w:rPr>
        <w:t>B, Administratrice de la SRL DESIGN DIFFUSION afin de rembourser la somme de minimum 60 000 €, à analyser, pour ce vendredi 11/06/2021 au plus tard. »</w:t>
      </w:r>
    </w:p>
    <w:p w14:paraId="07DC6EED"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 xml:space="preserve">  </w:t>
      </w:r>
      <w:r w:rsidRPr="007A1E61">
        <w:rPr>
          <w:rFonts w:ascii="Calibri" w:eastAsia="Calibri" w:hAnsi="Calibri" w:cs="Calibri"/>
          <w:kern w:val="0"/>
          <w:sz w:val="22"/>
          <w:szCs w:val="22"/>
          <w:shd w:val="clear" w:color="auto" w:fill="FFFFFF"/>
          <w:lang w:eastAsia="en-US"/>
        </w:rPr>
        <w:br w:type="textWrapping" w:clear="all"/>
      </w:r>
    </w:p>
    <w:p w14:paraId="2E98275B" w14:textId="00507475"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Le 28 juin 2021, la société se constitue partie civile dans les mains du juge d’instruction, du chef de fraude informatique, abus de confiance, faux et usage de faux,</w:t>
      </w:r>
      <w:r w:rsidR="00534B59">
        <w:rPr>
          <w:rFonts w:ascii="Calibri" w:eastAsia="Calibri" w:hAnsi="Calibri" w:cs="Calibri"/>
          <w:kern w:val="0"/>
          <w:sz w:val="22"/>
          <w:szCs w:val="22"/>
          <w:shd w:val="clear" w:color="auto" w:fill="FFFFFF"/>
          <w:lang w:eastAsia="en-US"/>
        </w:rPr>
        <w:t xml:space="preserve"> </w:t>
      </w:r>
      <w:r w:rsidR="00534B59" w:rsidRPr="007A1E61">
        <w:rPr>
          <w:rFonts w:ascii="Calibri" w:eastAsia="Calibri" w:hAnsi="Calibri" w:cs="Calibri"/>
          <w:kern w:val="0"/>
          <w:sz w:val="22"/>
          <w:szCs w:val="22"/>
          <w:shd w:val="clear" w:color="auto" w:fill="FFFFFF"/>
          <w:lang w:eastAsia="en-US"/>
        </w:rPr>
        <w:t xml:space="preserve">contre </w:t>
      </w:r>
      <w:r w:rsidR="00534B59">
        <w:rPr>
          <w:rFonts w:ascii="Calibri" w:eastAsia="Calibri" w:hAnsi="Calibri" w:cs="Calibri"/>
          <w:kern w:val="0"/>
          <w:sz w:val="22"/>
          <w:szCs w:val="22"/>
          <w:shd w:val="clear" w:color="auto" w:fill="FFFFFF"/>
          <w:lang w:eastAsia="en-US"/>
        </w:rPr>
        <w:t>M</w:t>
      </w:r>
      <w:r w:rsidR="00534B59" w:rsidRPr="007A1E61">
        <w:rPr>
          <w:rFonts w:ascii="Calibri" w:eastAsia="Calibri" w:hAnsi="Calibri" w:cs="Calibri"/>
          <w:kern w:val="0"/>
          <w:sz w:val="22"/>
          <w:szCs w:val="22"/>
          <w:shd w:val="clear" w:color="auto" w:fill="FFFFFF"/>
          <w:lang w:eastAsia="en-US"/>
        </w:rPr>
        <w:t>onsieur</w:t>
      </w:r>
      <w:r w:rsidR="00534B59">
        <w:rPr>
          <w:rFonts w:ascii="Calibri" w:eastAsia="Calibri" w:hAnsi="Calibri" w:cs="Calibri"/>
          <w:kern w:val="0"/>
          <w:sz w:val="22"/>
          <w:szCs w:val="22"/>
          <w:shd w:val="clear" w:color="auto" w:fill="FFFFFF"/>
          <w:lang w:eastAsia="en-US"/>
        </w:rPr>
        <w:t> </w:t>
      </w:r>
      <w:r w:rsidR="00534B59" w:rsidRPr="007A1E61">
        <w:rPr>
          <w:rFonts w:ascii="Calibri" w:eastAsia="Calibri" w:hAnsi="Calibri" w:cs="Calibri"/>
          <w:kern w:val="0"/>
          <w:sz w:val="22"/>
          <w:szCs w:val="22"/>
          <w:shd w:val="clear" w:color="auto" w:fill="FFFFFF"/>
          <w:lang w:eastAsia="en-US"/>
        </w:rPr>
        <w:t>V</w:t>
      </w:r>
      <w:r w:rsidR="00534B59" w:rsidRPr="007A1E61">
        <w:rPr>
          <w:rFonts w:ascii="Calibri" w:eastAsia="Calibri" w:hAnsi="Calibri" w:cs="Calibri"/>
          <w:kern w:val="0"/>
          <w:sz w:val="22"/>
          <w:szCs w:val="22"/>
          <w:shd w:val="clear" w:color="auto" w:fill="FFFFFF"/>
          <w:vertAlign w:val="superscript"/>
          <w:lang w:eastAsia="en-US"/>
        </w:rPr>
        <w:footnoteReference w:id="1"/>
      </w:r>
      <w:r w:rsidR="00534B59" w:rsidRPr="007A1E61">
        <w:rPr>
          <w:rFonts w:ascii="Calibri" w:eastAsia="Calibri" w:hAnsi="Calibri" w:cs="Calibri"/>
          <w:kern w:val="0"/>
          <w:sz w:val="22"/>
          <w:szCs w:val="22"/>
          <w:shd w:val="clear" w:color="auto" w:fill="FFFFFF"/>
          <w:lang w:eastAsia="en-US"/>
        </w:rPr>
        <w:t>.</w:t>
      </w:r>
    </w:p>
    <w:p w14:paraId="1E2A9CD0"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2.</w:t>
      </w:r>
    </w:p>
    <w:p w14:paraId="63CE875D" w14:textId="18105C0B"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kern w:val="0"/>
          <w:sz w:val="22"/>
          <w:szCs w:val="22"/>
          <w:shd w:val="clear" w:color="auto" w:fill="FFFFFF"/>
          <w:lang w:eastAsia="en-US"/>
        </w:rPr>
        <w:t xml:space="preserve">Le 21 juin 2021, le conseil de la société DESIGN </w:t>
      </w:r>
      <w:r w:rsidRPr="007A1E61">
        <w:rPr>
          <w:rFonts w:ascii="Calibri" w:hAnsi="Calibri" w:cs="Calibri"/>
          <w:kern w:val="0"/>
          <w:sz w:val="22"/>
          <w:szCs w:val="22"/>
          <w:lang w:val="fr-FR" w:eastAsia="fr-FR"/>
        </w:rPr>
        <w:t xml:space="preserve">DIFFUSION adresse une mise en demeure par courrier recommandé à </w:t>
      </w:r>
      <w:r>
        <w:rPr>
          <w:rFonts w:ascii="Calibri" w:hAnsi="Calibri" w:cs="Calibri"/>
          <w:kern w:val="0"/>
          <w:sz w:val="22"/>
          <w:szCs w:val="22"/>
          <w:lang w:val="fr-FR" w:eastAsia="fr-FR"/>
        </w:rPr>
        <w:t>M</w:t>
      </w:r>
      <w:r w:rsidRPr="007A1E61">
        <w:rPr>
          <w:rFonts w:ascii="Calibri" w:hAnsi="Calibri" w:cs="Calibri"/>
          <w:kern w:val="0"/>
          <w:sz w:val="22"/>
          <w:szCs w:val="22"/>
          <w:lang w:val="fr-FR" w:eastAsia="fr-FR"/>
        </w:rPr>
        <w:t xml:space="preserve">onsieur </w:t>
      </w:r>
      <w:r w:rsidR="0008499A">
        <w:rPr>
          <w:rFonts w:ascii="Calibri" w:eastAsia="Calibri" w:hAnsi="Calibri" w:cs="Calibri"/>
          <w:kern w:val="0"/>
          <w:sz w:val="22"/>
          <w:szCs w:val="22"/>
          <w:shd w:val="clear" w:color="auto" w:fill="FFFFFF"/>
          <w:lang w:eastAsia="en-US"/>
        </w:rPr>
        <w:t>V</w:t>
      </w:r>
      <w:r w:rsidRPr="007A1E61">
        <w:rPr>
          <w:rFonts w:ascii="Calibri" w:eastAsia="Calibri" w:hAnsi="Calibri" w:cs="Calibri"/>
          <w:kern w:val="0"/>
          <w:sz w:val="22"/>
          <w:szCs w:val="22"/>
          <w:shd w:val="clear" w:color="auto" w:fill="FFFFFF"/>
          <w:lang w:eastAsia="en-US"/>
        </w:rPr>
        <w:t>; ce dernier est invité à procéder au paiement de la somme de 60</w:t>
      </w:r>
      <w:r>
        <w:rPr>
          <w:rFonts w:ascii="Calibri" w:eastAsia="Calibri" w:hAnsi="Calibri" w:cs="Calibri"/>
          <w:kern w:val="0"/>
          <w:sz w:val="22"/>
          <w:szCs w:val="22"/>
          <w:shd w:val="clear" w:color="auto" w:fill="FFFFFF"/>
          <w:lang w:eastAsia="en-US"/>
        </w:rPr>
        <w:t>.</w:t>
      </w:r>
      <w:r w:rsidRPr="007A1E61">
        <w:rPr>
          <w:rFonts w:ascii="Calibri" w:eastAsia="Calibri" w:hAnsi="Calibri" w:cs="Calibri"/>
          <w:kern w:val="0"/>
          <w:sz w:val="22"/>
          <w:szCs w:val="22"/>
          <w:shd w:val="clear" w:color="auto" w:fill="FFFFFF"/>
          <w:lang w:eastAsia="en-US"/>
        </w:rPr>
        <w:t>000</w:t>
      </w:r>
      <w:r>
        <w:rPr>
          <w:rFonts w:ascii="Calibri" w:eastAsia="Calibri" w:hAnsi="Calibri" w:cs="Calibri"/>
          <w:kern w:val="0"/>
          <w:sz w:val="22"/>
          <w:szCs w:val="22"/>
          <w:shd w:val="clear" w:color="auto" w:fill="FFFFFF"/>
          <w:lang w:eastAsia="en-US"/>
        </w:rPr>
        <w:t>,00 </w:t>
      </w:r>
      <w:r w:rsidRPr="007A1E61">
        <w:rPr>
          <w:rFonts w:ascii="Calibri" w:eastAsia="Calibri" w:hAnsi="Calibri" w:cs="Calibri"/>
          <w:kern w:val="0"/>
          <w:sz w:val="22"/>
          <w:szCs w:val="22"/>
          <w:shd w:val="clear" w:color="auto" w:fill="FFFFFF"/>
          <w:lang w:eastAsia="en-US"/>
        </w:rPr>
        <w:t xml:space="preserve">euros, sous réserve de majoration à valoir, pour le 12 août suivant. </w:t>
      </w:r>
    </w:p>
    <w:p w14:paraId="052BF6A5" w14:textId="2990672D"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val="fr-FR" w:eastAsia="en-US"/>
        </w:rPr>
      </w:pPr>
      <w:r w:rsidRPr="007A1E61">
        <w:rPr>
          <w:rFonts w:ascii="Calibri" w:eastAsia="Calibri" w:hAnsi="Calibri" w:cs="Calibri"/>
          <w:kern w:val="0"/>
          <w:sz w:val="22"/>
          <w:szCs w:val="22"/>
          <w:shd w:val="clear" w:color="auto" w:fill="FFFFFF"/>
          <w:lang w:eastAsia="en-US"/>
        </w:rPr>
        <w:t xml:space="preserve">Le 7 septembre 2021, </w:t>
      </w:r>
      <w:r>
        <w:rPr>
          <w:rFonts w:ascii="Calibri" w:eastAsia="Calibri" w:hAnsi="Calibri" w:cs="Calibri"/>
          <w:kern w:val="0"/>
          <w:sz w:val="22"/>
          <w:szCs w:val="22"/>
          <w:shd w:val="clear" w:color="auto" w:fill="FFFFFF"/>
          <w:lang w:eastAsia="en-US"/>
        </w:rPr>
        <w:t>M</w:t>
      </w:r>
      <w:r w:rsidRPr="007A1E61">
        <w:rPr>
          <w:rFonts w:ascii="Calibri" w:eastAsia="Calibri" w:hAnsi="Calibri" w:cs="Calibri"/>
          <w:kern w:val="0"/>
          <w:sz w:val="22"/>
          <w:szCs w:val="22"/>
          <w:shd w:val="clear" w:color="auto" w:fill="FFFFFF"/>
          <w:lang w:eastAsia="en-US"/>
        </w:rPr>
        <w:t xml:space="preserve">onsieur </w:t>
      </w:r>
      <w:r w:rsidR="0008499A">
        <w:rPr>
          <w:rFonts w:ascii="Calibri" w:eastAsia="Calibri" w:hAnsi="Calibri" w:cs="Calibri"/>
          <w:kern w:val="0"/>
          <w:sz w:val="22"/>
          <w:szCs w:val="22"/>
          <w:shd w:val="clear" w:color="auto" w:fill="FFFFFF"/>
          <w:lang w:eastAsia="en-US"/>
        </w:rPr>
        <w:t xml:space="preserve">V </w:t>
      </w:r>
      <w:r w:rsidRPr="007A1E61">
        <w:rPr>
          <w:rFonts w:ascii="Calibri" w:eastAsia="Calibri" w:hAnsi="Calibri" w:cs="Calibri"/>
          <w:kern w:val="0"/>
          <w:sz w:val="22"/>
          <w:szCs w:val="22"/>
          <w:shd w:val="clear" w:color="auto" w:fill="FFFFFF"/>
          <w:lang w:eastAsia="en-US"/>
        </w:rPr>
        <w:t xml:space="preserve">est entendu par les services de police, sur réquisitoire du juge d’instruction. </w:t>
      </w:r>
      <w:r w:rsidRPr="007A1E61">
        <w:rPr>
          <w:rFonts w:ascii="Calibri" w:eastAsia="Calibri" w:hAnsi="Calibri" w:cs="Calibri"/>
          <w:kern w:val="0"/>
          <w:sz w:val="22"/>
          <w:szCs w:val="22"/>
          <w:shd w:val="clear" w:color="auto" w:fill="FFFFFF"/>
          <w:lang w:val="fr-FR" w:eastAsia="en-US"/>
        </w:rPr>
        <w:t>Il déclare notamment :</w:t>
      </w:r>
    </w:p>
    <w:p w14:paraId="02A1D516" w14:textId="77777777" w:rsidR="007A1E61" w:rsidRPr="007A1E61" w:rsidRDefault="007A1E61" w:rsidP="007A1E61">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val="fr-FR" w:eastAsia="en-US"/>
        </w:rPr>
      </w:pPr>
      <w:r w:rsidRPr="007A1E61">
        <w:rPr>
          <w:rFonts w:ascii="Calibri" w:eastAsia="Calibri" w:hAnsi="Calibri" w:cs="Calibri"/>
          <w:i/>
          <w:iCs/>
          <w:kern w:val="0"/>
          <w:sz w:val="22"/>
          <w:szCs w:val="22"/>
          <w:shd w:val="clear" w:color="auto" w:fill="FFFFFF"/>
          <w:lang w:val="fr-FR" w:eastAsia="en-US"/>
        </w:rPr>
        <w:t xml:space="preserve">« [...] Je vous informe qu'effectivement, j'ai détourné de l'argent de la société </w:t>
      </w:r>
      <w:r w:rsidRPr="007A1E61">
        <w:rPr>
          <w:rFonts w:ascii="Calibri" w:eastAsia="Calibri" w:hAnsi="Calibri" w:cs="Calibri"/>
          <w:i/>
          <w:iCs/>
          <w:kern w:val="0"/>
          <w:sz w:val="22"/>
          <w:szCs w:val="22"/>
          <w:shd w:val="clear" w:color="auto" w:fill="FFFFFF"/>
          <w:lang w:eastAsia="en-US"/>
        </w:rPr>
        <w:t xml:space="preserve">DESIGN </w:t>
      </w:r>
      <w:r w:rsidRPr="007A1E61">
        <w:rPr>
          <w:rFonts w:ascii="Calibri" w:hAnsi="Calibri" w:cs="Calibri"/>
          <w:i/>
          <w:iCs/>
          <w:kern w:val="0"/>
          <w:sz w:val="22"/>
          <w:szCs w:val="22"/>
          <w:lang w:val="fr-FR" w:eastAsia="fr-FR"/>
        </w:rPr>
        <w:t>DIFFUSION</w:t>
      </w:r>
      <w:r w:rsidRPr="007A1E61">
        <w:rPr>
          <w:rFonts w:ascii="Calibri" w:eastAsia="Calibri" w:hAnsi="Calibri" w:cs="Calibri"/>
          <w:i/>
          <w:iCs/>
          <w:kern w:val="0"/>
          <w:sz w:val="22"/>
          <w:szCs w:val="22"/>
          <w:shd w:val="clear" w:color="auto" w:fill="FFFFFF"/>
          <w:lang w:val="fr-FR" w:eastAsia="en-US"/>
        </w:rPr>
        <w:t xml:space="preserve"> vers mon compte propre, j'avais besoin d'argent pour subvenir aux besoins de ma famille. Je ne me souviens pas de la date précise du premier versement, mais c'était en 2020 . Il faudrait que je regarde en mes extraits de compte [...]. </w:t>
      </w:r>
    </w:p>
    <w:p w14:paraId="157868DD" w14:textId="6E29F0BD" w:rsidR="007A1E61" w:rsidRPr="007A1E61" w:rsidRDefault="007A1E61" w:rsidP="007A1E61">
      <w:pPr>
        <w:widowControl/>
        <w:suppressAutoHyphens w:val="0"/>
        <w:autoSpaceDN/>
        <w:spacing w:after="160" w:line="256" w:lineRule="auto"/>
        <w:ind w:left="708"/>
        <w:jc w:val="both"/>
        <w:textAlignment w:val="auto"/>
        <w:rPr>
          <w:rFonts w:ascii="Calibri" w:eastAsia="Calibri" w:hAnsi="Calibri" w:cs="Calibri"/>
          <w:i/>
          <w:iCs/>
          <w:kern w:val="0"/>
          <w:sz w:val="22"/>
          <w:szCs w:val="22"/>
          <w:shd w:val="clear" w:color="auto" w:fill="FFFFFF"/>
          <w:lang w:eastAsia="en-US"/>
        </w:rPr>
      </w:pPr>
      <w:r w:rsidRPr="007A1E61">
        <w:rPr>
          <w:rFonts w:ascii="Calibri" w:eastAsia="Calibri" w:hAnsi="Calibri" w:cs="Calibri"/>
          <w:i/>
          <w:iCs/>
          <w:kern w:val="0"/>
          <w:sz w:val="22"/>
          <w:szCs w:val="22"/>
          <w:shd w:val="clear" w:color="auto" w:fill="FFFFFF"/>
          <w:lang w:val="fr-FR" w:eastAsia="en-US"/>
        </w:rPr>
        <w:t>Il est vrai que j'ai reconnu ce fait devant mon employeur. Il est vrai que j'ai signé une reconnaissance de dette de 60 000€. Cependant, je tiens formellement à m'expliquer  m'exprimer à ce sujet. Le jour de la rédaction de cette reconnaissance de dette, je me trouvais en présence de mon employeur, de son avocat et de 4 policiers. J'ai eu une pression forte pour signer et rédiger cette reconnaissance. On m'a fait comprendre que je risquais la prison. Je n'ai pas eu d'autre choix que de faire ce papier. D'ailleurs, vous voyez mon écriture, elle est toute stressée. Cela ne correspond pas à mon écriture. J’'estime avoir dérobé plus ou moins 1000,00€ par mois depuis 2020 et pendant 2 ans, ce qui fait un total de 30000€. Vous me faites remarquer que 1000€ par mois pendant 2</w:t>
      </w:r>
      <w:r>
        <w:rPr>
          <w:rFonts w:ascii="Calibri" w:eastAsia="Calibri" w:hAnsi="Calibri" w:cs="Calibri"/>
          <w:i/>
          <w:iCs/>
          <w:kern w:val="0"/>
          <w:sz w:val="22"/>
          <w:szCs w:val="22"/>
          <w:shd w:val="clear" w:color="auto" w:fill="FFFFFF"/>
          <w:lang w:val="fr-FR" w:eastAsia="en-US"/>
        </w:rPr>
        <w:t> </w:t>
      </w:r>
      <w:r w:rsidRPr="007A1E61">
        <w:rPr>
          <w:rFonts w:ascii="Calibri" w:eastAsia="Calibri" w:hAnsi="Calibri" w:cs="Calibri"/>
          <w:i/>
          <w:iCs/>
          <w:kern w:val="0"/>
          <w:sz w:val="22"/>
          <w:szCs w:val="22"/>
          <w:shd w:val="clear" w:color="auto" w:fill="FFFFFF"/>
          <w:lang w:val="fr-FR" w:eastAsia="en-US"/>
        </w:rPr>
        <w:t>ans font 24000€. Je vous réponds que c'était plus ou moins 1000€ par mois, et bien 30</w:t>
      </w:r>
      <w:r>
        <w:rPr>
          <w:rFonts w:ascii="Calibri" w:eastAsia="Calibri" w:hAnsi="Calibri" w:cs="Calibri"/>
          <w:i/>
          <w:iCs/>
          <w:kern w:val="0"/>
          <w:sz w:val="22"/>
          <w:szCs w:val="22"/>
          <w:shd w:val="clear" w:color="auto" w:fill="FFFFFF"/>
          <w:lang w:val="fr-FR" w:eastAsia="en-US"/>
        </w:rPr>
        <w:t> </w:t>
      </w:r>
      <w:r w:rsidRPr="007A1E61">
        <w:rPr>
          <w:rFonts w:ascii="Calibri" w:eastAsia="Calibri" w:hAnsi="Calibri" w:cs="Calibri"/>
          <w:i/>
          <w:iCs/>
          <w:kern w:val="0"/>
          <w:sz w:val="22"/>
          <w:szCs w:val="22"/>
          <w:shd w:val="clear" w:color="auto" w:fill="FFFFFF"/>
          <w:lang w:val="fr-FR" w:eastAsia="en-US"/>
        </w:rPr>
        <w:t>000€ [...].</w:t>
      </w:r>
    </w:p>
    <w:p w14:paraId="475B9EC9" w14:textId="5A05706E" w:rsidR="007A1E61" w:rsidRPr="007A1E61" w:rsidRDefault="007A1E61" w:rsidP="007A1E61">
      <w:pPr>
        <w:widowControl/>
        <w:suppressAutoHyphens w:val="0"/>
        <w:autoSpaceDN/>
        <w:spacing w:after="160" w:line="256" w:lineRule="auto"/>
        <w:jc w:val="both"/>
        <w:textAlignment w:val="auto"/>
        <w:rPr>
          <w:rFonts w:ascii="Calibri" w:hAnsi="Calibri" w:cs="Calibri"/>
          <w:kern w:val="0"/>
          <w:sz w:val="22"/>
          <w:szCs w:val="22"/>
          <w:lang w:val="fr-FR" w:eastAsia="fr-FR"/>
        </w:rPr>
      </w:pPr>
      <w:r w:rsidRPr="007A1E61">
        <w:rPr>
          <w:rFonts w:ascii="Calibri" w:eastAsia="Calibri" w:hAnsi="Calibri" w:cs="Calibri"/>
          <w:kern w:val="0"/>
          <w:sz w:val="22"/>
          <w:szCs w:val="22"/>
          <w:shd w:val="clear" w:color="auto" w:fill="FFFFFF"/>
          <w:lang w:eastAsia="en-US"/>
        </w:rPr>
        <w:t xml:space="preserve">Par requête du 25/04/2022, la société DESIGN </w:t>
      </w:r>
      <w:r w:rsidRPr="007A1E61">
        <w:rPr>
          <w:rFonts w:ascii="Calibri" w:hAnsi="Calibri" w:cs="Calibri"/>
          <w:kern w:val="0"/>
          <w:sz w:val="22"/>
          <w:szCs w:val="22"/>
          <w:lang w:val="fr-FR" w:eastAsia="fr-FR"/>
        </w:rPr>
        <w:t>DIFFUSION introduit la présente procédure. La cause est fixée devant une chambre de médiation. Par jugement du 21/06/2022, le Tribunal – autrement composé – constate l’absence de la partie défenderesse (et donc l’impossibilité d’envoyer les parties en médiation</w:t>
      </w:r>
      <w:r>
        <w:rPr>
          <w:rFonts w:ascii="Calibri" w:hAnsi="Calibri" w:cs="Calibri"/>
          <w:kern w:val="0"/>
          <w:sz w:val="22"/>
          <w:szCs w:val="22"/>
          <w:lang w:val="fr-FR" w:eastAsia="fr-FR"/>
        </w:rPr>
        <w:t>)</w:t>
      </w:r>
      <w:r w:rsidRPr="007A1E61">
        <w:rPr>
          <w:rFonts w:ascii="Calibri" w:hAnsi="Calibri" w:cs="Calibri"/>
          <w:kern w:val="0"/>
          <w:sz w:val="22"/>
          <w:szCs w:val="22"/>
          <w:lang w:val="fr-FR" w:eastAsia="fr-FR"/>
        </w:rPr>
        <w:t xml:space="preserve"> ; un calendrier d’échange de conclusions est ordonné, et la cause remise à la présente chambre. </w:t>
      </w:r>
    </w:p>
    <w:p w14:paraId="20E74DDA" w14:textId="77777777" w:rsidR="007A1E61" w:rsidRPr="007A1E61" w:rsidRDefault="007A1E61" w:rsidP="007A1E61">
      <w:pPr>
        <w:widowControl/>
        <w:suppressAutoHyphens w:val="0"/>
        <w:autoSpaceDN/>
        <w:spacing w:after="160" w:line="256" w:lineRule="auto"/>
        <w:jc w:val="both"/>
        <w:textAlignment w:val="auto"/>
        <w:rPr>
          <w:rFonts w:ascii="Calibri" w:hAnsi="Calibri" w:cs="Calibri"/>
          <w:kern w:val="0"/>
          <w:sz w:val="22"/>
          <w:szCs w:val="22"/>
          <w:lang w:val="fr-FR" w:eastAsia="fr-FR"/>
        </w:rPr>
      </w:pPr>
      <w:r w:rsidRPr="007A1E61">
        <w:rPr>
          <w:rFonts w:ascii="Calibri" w:hAnsi="Calibri" w:cs="Calibri"/>
          <w:kern w:val="0"/>
          <w:sz w:val="22"/>
          <w:szCs w:val="22"/>
          <w:lang w:val="fr-FR" w:eastAsia="fr-FR"/>
        </w:rPr>
        <w:t>Dans cette décision, le Tribunal indique « </w:t>
      </w:r>
      <w:r w:rsidRPr="007A1E61">
        <w:rPr>
          <w:rFonts w:ascii="Calibri" w:hAnsi="Calibri" w:cs="Calibri"/>
          <w:i/>
          <w:iCs/>
          <w:kern w:val="0"/>
          <w:sz w:val="22"/>
          <w:szCs w:val="22"/>
          <w:lang w:val="fr-FR" w:eastAsia="fr-FR"/>
        </w:rPr>
        <w:t>qu’il n’y a pas lieu de faire application de l’article 19, alinéa 2 (lire, alinéa 3) du Code judiciaire</w:t>
      </w:r>
      <w:r w:rsidRPr="007A1E61">
        <w:rPr>
          <w:rFonts w:ascii="Calibri" w:hAnsi="Calibri" w:cs="Calibri"/>
          <w:kern w:val="0"/>
          <w:sz w:val="22"/>
          <w:szCs w:val="22"/>
          <w:lang w:val="fr-FR" w:eastAsia="fr-FR"/>
        </w:rPr>
        <w:t xml:space="preserve"> ». </w:t>
      </w:r>
    </w:p>
    <w:p w14:paraId="64A26CF3"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hAnsi="Calibri" w:cs="Calibri"/>
          <w:kern w:val="0"/>
          <w:sz w:val="22"/>
          <w:szCs w:val="22"/>
          <w:lang w:val="fr-FR" w:eastAsia="fr-FR"/>
        </w:rPr>
        <w:t>A l’audience du 18/11/2022, le Tribunal soulève d’office son incompétence matérielle. En l’absence du défendeur, la cause est renvoyée au Tribunal d’arrondissement.</w:t>
      </w:r>
    </w:p>
    <w:p w14:paraId="463A8E6D"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3.</w:t>
      </w:r>
    </w:p>
    <w:p w14:paraId="4F76D7DE" w14:textId="385B7844" w:rsidR="007A1E61" w:rsidRPr="007A1E61" w:rsidRDefault="007A1E61" w:rsidP="007A1E61">
      <w:pPr>
        <w:widowControl/>
        <w:suppressAutoHyphens w:val="0"/>
        <w:autoSpaceDN/>
        <w:spacing w:after="160" w:line="256" w:lineRule="auto"/>
        <w:jc w:val="both"/>
        <w:textAlignment w:val="auto"/>
        <w:rPr>
          <w:rFonts w:ascii="Calibri" w:hAnsi="Calibri" w:cs="Calibri"/>
          <w:kern w:val="0"/>
          <w:sz w:val="22"/>
          <w:szCs w:val="22"/>
          <w:lang w:val="fr-FR" w:eastAsia="fr-FR"/>
        </w:rPr>
      </w:pPr>
      <w:r w:rsidRPr="007A1E61">
        <w:rPr>
          <w:rFonts w:ascii="Calibri" w:eastAsia="Calibri" w:hAnsi="Calibri" w:cs="Calibri"/>
          <w:bCs/>
          <w:kern w:val="0"/>
          <w:sz w:val="22"/>
          <w:szCs w:val="22"/>
          <w:lang w:eastAsia="en-US"/>
        </w:rPr>
        <w:t xml:space="preserve">Au terme de ses conclusions, </w:t>
      </w:r>
      <w:r w:rsidRPr="007A1E61">
        <w:rPr>
          <w:rFonts w:ascii="Calibri" w:eastAsia="Calibri" w:hAnsi="Calibri" w:cs="Calibri"/>
          <w:b/>
          <w:kern w:val="0"/>
          <w:sz w:val="22"/>
          <w:szCs w:val="22"/>
          <w:lang w:eastAsia="en-US"/>
        </w:rPr>
        <w:t xml:space="preserve">la société </w:t>
      </w:r>
      <w:r w:rsidRPr="007A1E61">
        <w:rPr>
          <w:rFonts w:ascii="Calibri" w:eastAsia="Calibri" w:hAnsi="Calibri" w:cs="Calibri"/>
          <w:b/>
          <w:kern w:val="0"/>
          <w:sz w:val="22"/>
          <w:szCs w:val="22"/>
          <w:shd w:val="clear" w:color="auto" w:fill="FFFFFF"/>
          <w:lang w:eastAsia="en-US"/>
        </w:rPr>
        <w:t xml:space="preserve">DESIGN </w:t>
      </w:r>
      <w:r w:rsidRPr="007A1E61">
        <w:rPr>
          <w:rFonts w:ascii="Calibri" w:hAnsi="Calibri" w:cs="Calibri"/>
          <w:b/>
          <w:kern w:val="0"/>
          <w:sz w:val="22"/>
          <w:szCs w:val="22"/>
          <w:lang w:val="fr-FR" w:eastAsia="fr-FR"/>
        </w:rPr>
        <w:t>DIFFUSION</w:t>
      </w:r>
      <w:r w:rsidRPr="007A1E61">
        <w:rPr>
          <w:rFonts w:ascii="Calibri" w:hAnsi="Calibri" w:cs="Calibri"/>
          <w:kern w:val="0"/>
          <w:sz w:val="22"/>
          <w:szCs w:val="22"/>
          <w:lang w:val="fr-FR" w:eastAsia="fr-FR"/>
        </w:rPr>
        <w:t xml:space="preserve"> sollicite</w:t>
      </w:r>
      <w:r w:rsidR="0034317A">
        <w:rPr>
          <w:rFonts w:ascii="Calibri" w:hAnsi="Calibri" w:cs="Calibri"/>
          <w:kern w:val="0"/>
          <w:sz w:val="22"/>
          <w:szCs w:val="22"/>
          <w:lang w:val="fr-FR" w:eastAsia="fr-FR"/>
        </w:rPr>
        <w:t xml:space="preserve"> </w:t>
      </w:r>
      <w:r w:rsidRPr="007A1E61">
        <w:rPr>
          <w:rFonts w:ascii="Calibri" w:hAnsi="Calibri" w:cs="Calibri"/>
          <w:kern w:val="0"/>
          <w:sz w:val="22"/>
          <w:szCs w:val="22"/>
          <w:lang w:val="fr-FR" w:eastAsia="fr-FR"/>
        </w:rPr>
        <w:t>du Tribunal de :</w:t>
      </w:r>
    </w:p>
    <w:p w14:paraId="1D444B8C" w14:textId="77777777" w:rsidR="007A1E61" w:rsidRPr="007A1E61" w:rsidRDefault="007A1E61" w:rsidP="007A1E61">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 xml:space="preserve">Dire l’action recevable et fondée; </w:t>
      </w:r>
    </w:p>
    <w:p w14:paraId="601302EA" w14:textId="77777777" w:rsidR="007A1E61" w:rsidRPr="007A1E61" w:rsidRDefault="007A1E61" w:rsidP="007A1E61">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Faisant application des articles 19, alinéa 3 (du Code judiciaire)</w:t>
      </w:r>
    </w:p>
    <w:p w14:paraId="5463A8AB" w14:textId="10000F27" w:rsidR="007A1E61" w:rsidRPr="007A1E61" w:rsidRDefault="007A1E61" w:rsidP="007A1E61">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De condamner le défendeur au paiement de la somme de 60.000</w:t>
      </w:r>
      <w:r w:rsidR="0034317A">
        <w:rPr>
          <w:rFonts w:ascii="Calibri" w:eastAsia="Calibri" w:hAnsi="Calibri" w:cs="Calibri"/>
          <w:kern w:val="0"/>
          <w:sz w:val="22"/>
          <w:szCs w:val="22"/>
          <w:shd w:val="clear" w:color="auto" w:fill="FFFFFF"/>
          <w:lang w:eastAsia="en-US"/>
        </w:rPr>
        <w:t>n,00 </w:t>
      </w:r>
      <w:r w:rsidRPr="007A1E61">
        <w:rPr>
          <w:rFonts w:ascii="Calibri" w:eastAsia="Calibri" w:hAnsi="Calibri" w:cs="Calibri"/>
          <w:kern w:val="0"/>
          <w:sz w:val="22"/>
          <w:szCs w:val="22"/>
          <w:shd w:val="clear" w:color="auto" w:fill="FFFFFF"/>
          <w:lang w:eastAsia="en-US"/>
        </w:rPr>
        <w:t xml:space="preserve">€ </w:t>
      </w:r>
      <w:r w:rsidRPr="007A1E61">
        <w:rPr>
          <w:rFonts w:ascii="Calibri" w:eastAsia="Calibri" w:hAnsi="Calibri" w:cs="Calibri"/>
          <w:kern w:val="0"/>
          <w:sz w:val="22"/>
          <w:szCs w:val="22"/>
          <w:u w:val="single"/>
          <w:shd w:val="clear" w:color="auto" w:fill="FFFFFF"/>
          <w:lang w:eastAsia="en-US"/>
        </w:rPr>
        <w:t>au titre de dommages et intérêts</w:t>
      </w:r>
      <w:r w:rsidRPr="007A1E61">
        <w:rPr>
          <w:rFonts w:ascii="Calibri" w:eastAsia="Calibri" w:hAnsi="Calibri" w:cs="Calibri"/>
          <w:kern w:val="0"/>
          <w:sz w:val="22"/>
          <w:szCs w:val="22"/>
          <w:shd w:val="clear" w:color="auto" w:fill="FFFFFF"/>
          <w:lang w:eastAsia="en-US"/>
        </w:rPr>
        <w:t xml:space="preserve">, à majorer des intérêts compensatoires puis judiciaires aux taux légaux à compter du 28 juillet 2021; </w:t>
      </w:r>
    </w:p>
    <w:p w14:paraId="0E4A83E9" w14:textId="7C77DF0F" w:rsidR="007A1E61" w:rsidRPr="007A1E61" w:rsidRDefault="007A1E61" w:rsidP="007A1E61">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D’</w:t>
      </w:r>
      <w:r w:rsidR="0034317A">
        <w:rPr>
          <w:rFonts w:ascii="Calibri" w:eastAsia="Calibri" w:hAnsi="Calibri" w:cs="Calibri"/>
          <w:kern w:val="0"/>
          <w:sz w:val="22"/>
          <w:szCs w:val="22"/>
          <w:shd w:val="clear" w:color="auto" w:fill="FFFFFF"/>
          <w:lang w:eastAsia="en-US"/>
        </w:rPr>
        <w:t>e</w:t>
      </w:r>
      <w:r w:rsidRPr="007A1E61">
        <w:rPr>
          <w:rFonts w:ascii="Calibri" w:eastAsia="Calibri" w:hAnsi="Calibri" w:cs="Calibri"/>
          <w:kern w:val="0"/>
          <w:sz w:val="22"/>
          <w:szCs w:val="22"/>
          <w:shd w:val="clear" w:color="auto" w:fill="FFFFFF"/>
          <w:lang w:eastAsia="en-US"/>
        </w:rPr>
        <w:t xml:space="preserve">xclure le cantonnement; </w:t>
      </w:r>
    </w:p>
    <w:p w14:paraId="5BB348AD" w14:textId="77777777" w:rsidR="007A1E61" w:rsidRPr="007A1E61" w:rsidRDefault="007A1E61" w:rsidP="007A1E61">
      <w:pPr>
        <w:widowControl/>
        <w:numPr>
          <w:ilvl w:val="0"/>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 xml:space="preserve">Pour le surplus: </w:t>
      </w:r>
    </w:p>
    <w:p w14:paraId="07F7F62F" w14:textId="5D4A259C" w:rsidR="007A1E61" w:rsidRPr="007A1E61" w:rsidRDefault="007A1E61" w:rsidP="007A1E61">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De condamner le défendeur à la somme de 1€ provisionnel à valoir sur tous dommages contractuels et/ou extracontractuels (évalué provisionnellement à 90.000</w:t>
      </w:r>
      <w:r w:rsidR="0034317A">
        <w:rPr>
          <w:rFonts w:ascii="Calibri" w:eastAsia="Calibri" w:hAnsi="Calibri" w:cs="Calibri"/>
          <w:kern w:val="0"/>
          <w:sz w:val="22"/>
          <w:szCs w:val="22"/>
          <w:shd w:val="clear" w:color="auto" w:fill="FFFFFF"/>
          <w:lang w:eastAsia="en-US"/>
        </w:rPr>
        <w:t>,00 €</w:t>
      </w:r>
      <w:r w:rsidRPr="007A1E61">
        <w:rPr>
          <w:rFonts w:ascii="Calibri" w:eastAsia="Calibri" w:hAnsi="Calibri" w:cs="Calibri"/>
          <w:kern w:val="0"/>
          <w:sz w:val="22"/>
          <w:szCs w:val="22"/>
          <w:shd w:val="clear" w:color="auto" w:fill="FFFFFF"/>
          <w:lang w:eastAsia="en-US"/>
        </w:rPr>
        <w:t xml:space="preserve">) découverts au cours de la procédure, à majorer des intérêts légaux puis judiciaires à compter du 28 juillet 2021; </w:t>
      </w:r>
    </w:p>
    <w:p w14:paraId="4EAC1AAD" w14:textId="513AAED5" w:rsidR="007A1E61" w:rsidRPr="0034317A" w:rsidRDefault="007A1E61" w:rsidP="007A1E61">
      <w:pPr>
        <w:widowControl/>
        <w:numPr>
          <w:ilvl w:val="1"/>
          <w:numId w:val="9"/>
        </w:numPr>
        <w:suppressAutoHyphens w:val="0"/>
        <w:autoSpaceDN/>
        <w:spacing w:after="160" w:line="256" w:lineRule="auto"/>
        <w:contextualSpacing/>
        <w:jc w:val="both"/>
        <w:textAlignment w:val="auto"/>
        <w:rPr>
          <w:rFonts w:ascii="Calibri" w:eastAsia="Calibri" w:hAnsi="Calibri" w:cs="Calibri"/>
          <w:bCs/>
          <w:kern w:val="0"/>
          <w:sz w:val="22"/>
          <w:szCs w:val="22"/>
          <w:lang w:eastAsia="en-US"/>
        </w:rPr>
      </w:pPr>
      <w:r w:rsidRPr="007A1E61">
        <w:rPr>
          <w:rFonts w:ascii="Calibri" w:eastAsia="Calibri" w:hAnsi="Calibri" w:cs="Calibri"/>
          <w:kern w:val="0"/>
          <w:sz w:val="22"/>
          <w:szCs w:val="22"/>
          <w:shd w:val="clear" w:color="auto" w:fill="FFFFFF"/>
          <w:lang w:eastAsia="en-US"/>
        </w:rPr>
        <w:t xml:space="preserve">De </w:t>
      </w:r>
      <w:r w:rsidR="0034317A">
        <w:rPr>
          <w:rFonts w:ascii="Calibri" w:eastAsia="Calibri" w:hAnsi="Calibri" w:cs="Calibri"/>
          <w:kern w:val="0"/>
          <w:sz w:val="22"/>
          <w:szCs w:val="22"/>
          <w:shd w:val="clear" w:color="auto" w:fill="FFFFFF"/>
          <w:lang w:eastAsia="en-US"/>
        </w:rPr>
        <w:t>r</w:t>
      </w:r>
      <w:r w:rsidRPr="007A1E61">
        <w:rPr>
          <w:rFonts w:ascii="Calibri" w:eastAsia="Calibri" w:hAnsi="Calibri" w:cs="Calibri"/>
          <w:kern w:val="0"/>
          <w:sz w:val="22"/>
          <w:szCs w:val="22"/>
          <w:shd w:val="clear" w:color="auto" w:fill="FFFFFF"/>
          <w:lang w:eastAsia="en-US"/>
        </w:rPr>
        <w:t>éserver à statuer pour le surplus.</w:t>
      </w:r>
    </w:p>
    <w:p w14:paraId="53520AA7" w14:textId="77777777" w:rsidR="0034317A" w:rsidRPr="007A1E61" w:rsidRDefault="0034317A" w:rsidP="0034317A">
      <w:pPr>
        <w:widowControl/>
        <w:suppressAutoHyphens w:val="0"/>
        <w:autoSpaceDN/>
        <w:spacing w:after="160" w:line="256" w:lineRule="auto"/>
        <w:ind w:left="1440"/>
        <w:contextualSpacing/>
        <w:jc w:val="both"/>
        <w:textAlignment w:val="auto"/>
        <w:rPr>
          <w:rFonts w:ascii="Calibri" w:eastAsia="Calibri" w:hAnsi="Calibri" w:cs="Calibri"/>
          <w:bCs/>
          <w:kern w:val="0"/>
          <w:sz w:val="22"/>
          <w:szCs w:val="22"/>
          <w:lang w:eastAsia="en-US"/>
        </w:rPr>
      </w:pPr>
    </w:p>
    <w:p w14:paraId="3B884221" w14:textId="607E60A4"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shd w:val="clear" w:color="auto" w:fill="FFFFFF"/>
          <w:lang w:eastAsia="en-US"/>
        </w:rPr>
      </w:pPr>
      <w:r w:rsidRPr="007A1E61">
        <w:rPr>
          <w:rFonts w:ascii="Calibri" w:eastAsia="Calibri" w:hAnsi="Calibri" w:cs="Calibri"/>
          <w:b/>
          <w:kern w:val="0"/>
          <w:sz w:val="22"/>
          <w:szCs w:val="22"/>
          <w:lang w:eastAsia="en-US"/>
        </w:rPr>
        <w:t xml:space="preserve">Monsieur </w:t>
      </w:r>
      <w:proofErr w:type="spellStart"/>
      <w:r w:rsidR="0008499A">
        <w:rPr>
          <w:rFonts w:ascii="Calibri" w:eastAsia="Calibri" w:hAnsi="Calibri" w:cs="Calibri"/>
          <w:b/>
          <w:kern w:val="0"/>
          <w:sz w:val="22"/>
          <w:szCs w:val="22"/>
          <w:shd w:val="clear" w:color="auto" w:fill="FFFFFF"/>
          <w:lang w:eastAsia="en-US"/>
        </w:rPr>
        <w:t>V</w:t>
      </w:r>
      <w:r w:rsidRPr="007A1E61">
        <w:rPr>
          <w:rFonts w:ascii="Calibri" w:eastAsia="Calibri" w:hAnsi="Calibri" w:cs="Calibri"/>
          <w:kern w:val="0"/>
          <w:sz w:val="22"/>
          <w:szCs w:val="22"/>
          <w:shd w:val="clear" w:color="auto" w:fill="FFFFFF"/>
          <w:lang w:eastAsia="en-US"/>
        </w:rPr>
        <w:t>fait</w:t>
      </w:r>
      <w:proofErr w:type="spellEnd"/>
      <w:r w:rsidRPr="007A1E61">
        <w:rPr>
          <w:rFonts w:ascii="Calibri" w:eastAsia="Calibri" w:hAnsi="Calibri" w:cs="Calibri"/>
          <w:kern w:val="0"/>
          <w:sz w:val="22"/>
          <w:szCs w:val="22"/>
          <w:shd w:val="clear" w:color="auto" w:fill="FFFFFF"/>
          <w:lang w:eastAsia="en-US"/>
        </w:rPr>
        <w:t xml:space="preserve"> défaut, bien qu’il ait été valablement convoqué. </w:t>
      </w:r>
    </w:p>
    <w:p w14:paraId="755DB950"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279B1D49" w14:textId="0D6F8A61" w:rsidR="007A1E61" w:rsidRPr="004A70E3" w:rsidRDefault="007A1E61" w:rsidP="004A70E3">
      <w:pPr>
        <w:pStyle w:val="Paragraphedeliste"/>
        <w:widowControl/>
        <w:numPr>
          <w:ilvl w:val="0"/>
          <w:numId w:val="10"/>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4A70E3">
        <w:rPr>
          <w:rFonts w:ascii="Calibri" w:eastAsia="Calibri" w:hAnsi="Calibri" w:cs="Calibri"/>
          <w:b/>
          <w:kern w:val="0"/>
          <w:sz w:val="22"/>
          <w:szCs w:val="22"/>
          <w:u w:val="single"/>
          <w:lang w:eastAsia="en-US"/>
        </w:rPr>
        <w:t>La compétence et la recevabilité</w:t>
      </w:r>
    </w:p>
    <w:p w14:paraId="0B1C5953" w14:textId="77777777" w:rsidR="0034317A" w:rsidRPr="007A1E61" w:rsidRDefault="0034317A" w:rsidP="0034317A">
      <w:pPr>
        <w:widowControl/>
        <w:suppressAutoHyphens w:val="0"/>
        <w:autoSpaceDN/>
        <w:spacing w:after="160" w:line="256" w:lineRule="auto"/>
        <w:ind w:left="1080"/>
        <w:contextualSpacing/>
        <w:jc w:val="both"/>
        <w:textAlignment w:val="auto"/>
        <w:rPr>
          <w:rFonts w:ascii="Calibri" w:eastAsia="Calibri" w:hAnsi="Calibri" w:cs="Calibri"/>
          <w:b/>
          <w:kern w:val="0"/>
          <w:sz w:val="22"/>
          <w:szCs w:val="22"/>
          <w:u w:val="single"/>
          <w:lang w:eastAsia="en-US"/>
        </w:rPr>
      </w:pPr>
    </w:p>
    <w:p w14:paraId="04BF50AA"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Par jugement prononcé le 22/12/2022, le Tribunal d’arrondissement renvoie la cause devant le Tribunal du travail de LIEGE, en vertu de la motivation suivante :</w:t>
      </w:r>
    </w:p>
    <w:p w14:paraId="3A8646C0" w14:textId="77777777" w:rsidR="007A1E61" w:rsidRPr="007A1E61" w:rsidRDefault="007A1E61" w:rsidP="007A1E61">
      <w:pPr>
        <w:widowControl/>
        <w:suppressAutoHyphens w:val="0"/>
        <w:autoSpaceDN/>
        <w:spacing w:before="284" w:after="160" w:line="267" w:lineRule="exact"/>
        <w:ind w:left="708" w:right="581"/>
        <w:jc w:val="both"/>
        <w:rPr>
          <w:rFonts w:ascii="Calibri" w:eastAsia="Tahoma" w:hAnsi="Calibri" w:cs="Calibri"/>
          <w:i/>
          <w:iCs/>
          <w:color w:val="000000"/>
          <w:kern w:val="0"/>
          <w:sz w:val="22"/>
          <w:szCs w:val="22"/>
          <w:lang w:val="fr-FR" w:eastAsia="en-US"/>
        </w:rPr>
      </w:pPr>
      <w:r w:rsidRPr="007A1E61">
        <w:rPr>
          <w:rFonts w:ascii="Calibri" w:eastAsia="Tahoma" w:hAnsi="Calibri" w:cs="Calibri"/>
          <w:i/>
          <w:iCs/>
          <w:color w:val="000000"/>
          <w:kern w:val="0"/>
          <w:sz w:val="22"/>
          <w:szCs w:val="22"/>
          <w:lang w:val="fr-FR" w:eastAsia="en-US"/>
        </w:rPr>
        <w:t>« Dans</w:t>
      </w:r>
      <w:r w:rsidRPr="007A1E61">
        <w:rPr>
          <w:rFonts w:ascii="Calibri" w:eastAsia="Verdana" w:hAnsi="Calibri" w:cs="Calibri"/>
          <w:i/>
          <w:iCs/>
          <w:color w:val="000000"/>
          <w:kern w:val="0"/>
          <w:sz w:val="22"/>
          <w:szCs w:val="22"/>
          <w:lang w:val="fr-FR" w:eastAsia="en-US"/>
        </w:rPr>
        <w:t xml:space="preserve"> le</w:t>
      </w:r>
      <w:r w:rsidRPr="007A1E61">
        <w:rPr>
          <w:rFonts w:ascii="Calibri" w:eastAsia="Tahoma" w:hAnsi="Calibri" w:cs="Calibri"/>
          <w:i/>
          <w:iCs/>
          <w:color w:val="000000"/>
          <w:kern w:val="0"/>
          <w:sz w:val="22"/>
          <w:szCs w:val="22"/>
          <w:lang w:val="fr-FR" w:eastAsia="en-US"/>
        </w:rPr>
        <w:t xml:space="preserve"> cas d'espèce, on</w:t>
      </w:r>
      <w:r w:rsidRPr="007A1E61">
        <w:rPr>
          <w:rFonts w:ascii="Calibri" w:eastAsia="Verdana" w:hAnsi="Calibri" w:cs="Calibri"/>
          <w:i/>
          <w:iCs/>
          <w:color w:val="000000"/>
          <w:kern w:val="0"/>
          <w:sz w:val="22"/>
          <w:szCs w:val="22"/>
          <w:lang w:val="fr-FR" w:eastAsia="en-US"/>
        </w:rPr>
        <w:t xml:space="preserve"> se</w:t>
      </w:r>
      <w:r w:rsidRPr="007A1E61">
        <w:rPr>
          <w:rFonts w:ascii="Calibri" w:eastAsia="Tahoma" w:hAnsi="Calibri" w:cs="Calibri"/>
          <w:i/>
          <w:iCs/>
          <w:color w:val="000000"/>
          <w:kern w:val="0"/>
          <w:sz w:val="22"/>
          <w:szCs w:val="22"/>
          <w:lang w:val="fr-FR" w:eastAsia="en-US"/>
        </w:rPr>
        <w:t xml:space="preserve"> trouve</w:t>
      </w:r>
      <w:r w:rsidRPr="007A1E61">
        <w:rPr>
          <w:rFonts w:ascii="Calibri" w:eastAsia="Verdana" w:hAnsi="Calibri" w:cs="Calibri"/>
          <w:i/>
          <w:iCs/>
          <w:color w:val="000000"/>
          <w:kern w:val="0"/>
          <w:sz w:val="22"/>
          <w:szCs w:val="22"/>
          <w:lang w:val="fr-FR" w:eastAsia="en-US"/>
        </w:rPr>
        <w:t xml:space="preserve"> face à</w:t>
      </w:r>
      <w:r w:rsidRPr="007A1E61">
        <w:rPr>
          <w:rFonts w:ascii="Calibri" w:eastAsia="Tahoma" w:hAnsi="Calibri" w:cs="Calibri"/>
          <w:i/>
          <w:iCs/>
          <w:color w:val="000000"/>
          <w:kern w:val="0"/>
          <w:sz w:val="22"/>
          <w:szCs w:val="22"/>
          <w:lang w:val="fr-FR" w:eastAsia="en-US"/>
        </w:rPr>
        <w:t xml:space="preserve"> une infraction commise</w:t>
      </w:r>
      <w:r w:rsidRPr="007A1E61">
        <w:rPr>
          <w:rFonts w:ascii="Calibri" w:eastAsia="Verdana" w:hAnsi="Calibri" w:cs="Calibri"/>
          <w:i/>
          <w:iCs/>
          <w:color w:val="000000"/>
          <w:kern w:val="0"/>
          <w:sz w:val="22"/>
          <w:szCs w:val="22"/>
          <w:lang w:val="fr-FR" w:eastAsia="en-US"/>
        </w:rPr>
        <w:t xml:space="preserve"> en</w:t>
      </w:r>
      <w:r w:rsidRPr="007A1E61">
        <w:rPr>
          <w:rFonts w:ascii="Calibri" w:eastAsia="Tahoma" w:hAnsi="Calibri" w:cs="Calibri"/>
          <w:i/>
          <w:iCs/>
          <w:color w:val="000000"/>
          <w:kern w:val="0"/>
          <w:sz w:val="22"/>
          <w:szCs w:val="22"/>
          <w:lang w:val="fr-FR" w:eastAsia="en-US"/>
        </w:rPr>
        <w:t xml:space="preserve"> vertu</w:t>
      </w:r>
      <w:r w:rsidRPr="007A1E61">
        <w:rPr>
          <w:rFonts w:ascii="Calibri" w:eastAsia="Verdana" w:hAnsi="Calibri" w:cs="Calibri"/>
          <w:i/>
          <w:iCs/>
          <w:color w:val="000000"/>
          <w:kern w:val="0"/>
          <w:sz w:val="22"/>
          <w:szCs w:val="22"/>
          <w:lang w:val="fr-FR" w:eastAsia="en-US"/>
        </w:rPr>
        <w:t xml:space="preserve"> de</w:t>
      </w:r>
      <w:r w:rsidRPr="007A1E61">
        <w:rPr>
          <w:rFonts w:ascii="Calibri" w:eastAsia="Tahoma" w:hAnsi="Calibri" w:cs="Calibri"/>
          <w:i/>
          <w:iCs/>
          <w:color w:val="000000"/>
          <w:kern w:val="0"/>
          <w:sz w:val="22"/>
          <w:szCs w:val="22"/>
          <w:lang w:val="fr-FR" w:eastAsia="en-US"/>
        </w:rPr>
        <w:t xml:space="preserve"> l'exécution</w:t>
      </w:r>
      <w:r w:rsidRPr="007A1E61">
        <w:rPr>
          <w:rFonts w:ascii="Calibri" w:eastAsia="Verdana" w:hAnsi="Calibri" w:cs="Calibri"/>
          <w:i/>
          <w:iCs/>
          <w:color w:val="000000"/>
          <w:kern w:val="0"/>
          <w:sz w:val="22"/>
          <w:szCs w:val="22"/>
          <w:lang w:val="fr-FR" w:eastAsia="en-US"/>
        </w:rPr>
        <w:t xml:space="preserve"> du</w:t>
      </w:r>
      <w:r w:rsidRPr="007A1E61">
        <w:rPr>
          <w:rFonts w:ascii="Calibri" w:eastAsia="Tahoma" w:hAnsi="Calibri" w:cs="Calibri"/>
          <w:i/>
          <w:iCs/>
          <w:color w:val="000000"/>
          <w:kern w:val="0"/>
          <w:sz w:val="22"/>
          <w:szCs w:val="22"/>
          <w:lang w:val="fr-FR" w:eastAsia="en-US"/>
        </w:rPr>
        <w:t xml:space="preserve"> contrat</w:t>
      </w:r>
      <w:r w:rsidRPr="007A1E61">
        <w:rPr>
          <w:rFonts w:ascii="Calibri" w:eastAsia="Verdana" w:hAnsi="Calibri" w:cs="Calibri"/>
          <w:i/>
          <w:iCs/>
          <w:color w:val="000000"/>
          <w:kern w:val="0"/>
          <w:sz w:val="22"/>
          <w:szCs w:val="22"/>
          <w:lang w:val="fr-FR" w:eastAsia="en-US"/>
        </w:rPr>
        <w:t xml:space="preserve"> de</w:t>
      </w:r>
      <w:r w:rsidRPr="007A1E61">
        <w:rPr>
          <w:rFonts w:ascii="Calibri" w:eastAsia="Tahoma" w:hAnsi="Calibri" w:cs="Calibri"/>
          <w:i/>
          <w:iCs/>
          <w:color w:val="000000"/>
          <w:kern w:val="0"/>
          <w:sz w:val="22"/>
          <w:szCs w:val="22"/>
          <w:lang w:val="fr-FR" w:eastAsia="en-US"/>
        </w:rPr>
        <w:t xml:space="preserve"> travail</w:t>
      </w:r>
      <w:r w:rsidRPr="007A1E61">
        <w:rPr>
          <w:rFonts w:ascii="Calibri" w:eastAsia="Verdana" w:hAnsi="Calibri" w:cs="Calibri"/>
          <w:i/>
          <w:iCs/>
          <w:color w:val="000000"/>
          <w:kern w:val="0"/>
          <w:sz w:val="22"/>
          <w:szCs w:val="22"/>
          <w:lang w:val="fr-FR" w:eastAsia="en-US"/>
        </w:rPr>
        <w:t xml:space="preserve"> et non pas à</w:t>
      </w:r>
      <w:r w:rsidRPr="007A1E61">
        <w:rPr>
          <w:rFonts w:ascii="Calibri" w:eastAsia="Tahoma" w:hAnsi="Calibri" w:cs="Calibri"/>
          <w:i/>
          <w:iCs/>
          <w:color w:val="000000"/>
          <w:kern w:val="0"/>
          <w:sz w:val="22"/>
          <w:szCs w:val="22"/>
          <w:lang w:val="fr-FR" w:eastAsia="en-US"/>
        </w:rPr>
        <w:t xml:space="preserve"> l'occasion</w:t>
      </w:r>
      <w:r w:rsidRPr="007A1E61">
        <w:rPr>
          <w:rFonts w:ascii="Calibri" w:eastAsia="Verdana" w:hAnsi="Calibri" w:cs="Calibri"/>
          <w:i/>
          <w:iCs/>
          <w:color w:val="000000"/>
          <w:kern w:val="0"/>
          <w:sz w:val="22"/>
          <w:szCs w:val="22"/>
          <w:lang w:val="fr-FR" w:eastAsia="en-US"/>
        </w:rPr>
        <w:t xml:space="preserve"> du</w:t>
      </w:r>
      <w:r w:rsidRPr="007A1E61">
        <w:rPr>
          <w:rFonts w:ascii="Calibri" w:eastAsia="Tahoma" w:hAnsi="Calibri" w:cs="Calibri"/>
          <w:i/>
          <w:iCs/>
          <w:color w:val="000000"/>
          <w:kern w:val="0"/>
          <w:sz w:val="22"/>
          <w:szCs w:val="22"/>
          <w:lang w:val="fr-FR" w:eastAsia="en-US"/>
        </w:rPr>
        <w:t xml:space="preserve"> contrat</w:t>
      </w:r>
      <w:r w:rsidRPr="007A1E61">
        <w:rPr>
          <w:rFonts w:ascii="Calibri" w:eastAsia="Verdana" w:hAnsi="Calibri" w:cs="Calibri"/>
          <w:i/>
          <w:iCs/>
          <w:color w:val="000000"/>
          <w:kern w:val="0"/>
          <w:sz w:val="22"/>
          <w:szCs w:val="22"/>
          <w:lang w:val="fr-FR" w:eastAsia="en-US"/>
        </w:rPr>
        <w:t xml:space="preserve"> de</w:t>
      </w:r>
      <w:r w:rsidRPr="007A1E61">
        <w:rPr>
          <w:rFonts w:ascii="Calibri" w:eastAsia="Tahoma" w:hAnsi="Calibri" w:cs="Calibri"/>
          <w:i/>
          <w:iCs/>
          <w:color w:val="000000"/>
          <w:kern w:val="0"/>
          <w:sz w:val="22"/>
          <w:szCs w:val="22"/>
          <w:lang w:val="fr-FR" w:eastAsia="en-US"/>
        </w:rPr>
        <w:t xml:space="preserve"> travail. L'article</w:t>
      </w:r>
      <w:r w:rsidRPr="007A1E61">
        <w:rPr>
          <w:rFonts w:ascii="Calibri" w:eastAsia="Verdana" w:hAnsi="Calibri" w:cs="Calibri"/>
          <w:i/>
          <w:iCs/>
          <w:color w:val="000000"/>
          <w:kern w:val="0"/>
          <w:sz w:val="22"/>
          <w:szCs w:val="22"/>
          <w:lang w:val="fr-FR" w:eastAsia="en-US"/>
        </w:rPr>
        <w:t xml:space="preserve"> 18 de la</w:t>
      </w:r>
      <w:r w:rsidRPr="007A1E61">
        <w:rPr>
          <w:rFonts w:ascii="Calibri" w:eastAsia="Tahoma" w:hAnsi="Calibri" w:cs="Calibri"/>
          <w:i/>
          <w:iCs/>
          <w:color w:val="000000"/>
          <w:kern w:val="0"/>
          <w:sz w:val="22"/>
          <w:szCs w:val="22"/>
          <w:lang w:val="fr-FR" w:eastAsia="en-US"/>
        </w:rPr>
        <w:t xml:space="preserve"> loi</w:t>
      </w:r>
      <w:r w:rsidRPr="007A1E61">
        <w:rPr>
          <w:rFonts w:ascii="Calibri" w:eastAsia="Verdana" w:hAnsi="Calibri" w:cs="Calibri"/>
          <w:i/>
          <w:iCs/>
          <w:color w:val="000000"/>
          <w:kern w:val="0"/>
          <w:sz w:val="22"/>
          <w:szCs w:val="22"/>
          <w:lang w:val="fr-FR" w:eastAsia="en-US"/>
        </w:rPr>
        <w:t xml:space="preserve"> du 3/7/1978</w:t>
      </w:r>
      <w:r w:rsidRPr="007A1E61">
        <w:rPr>
          <w:rFonts w:ascii="Calibri" w:eastAsia="Tahoma" w:hAnsi="Calibri" w:cs="Calibri"/>
          <w:i/>
          <w:iCs/>
          <w:color w:val="000000"/>
          <w:kern w:val="0"/>
          <w:sz w:val="22"/>
          <w:szCs w:val="22"/>
          <w:lang w:val="fr-FR" w:eastAsia="en-US"/>
        </w:rPr>
        <w:t xml:space="preserve"> est invoquée («</w:t>
      </w:r>
      <w:r w:rsidRPr="007A1E61">
        <w:rPr>
          <w:rFonts w:ascii="Calibri" w:eastAsia="Verdana" w:hAnsi="Calibri" w:cs="Calibri"/>
          <w:i/>
          <w:iCs/>
          <w:color w:val="000000"/>
          <w:kern w:val="0"/>
          <w:sz w:val="22"/>
          <w:szCs w:val="22"/>
          <w:lang w:val="fr-FR" w:eastAsia="en-US"/>
        </w:rPr>
        <w:t xml:space="preserve"> En</w:t>
      </w:r>
      <w:r w:rsidRPr="007A1E61">
        <w:rPr>
          <w:rFonts w:ascii="Calibri" w:eastAsia="Arial" w:hAnsi="Calibri" w:cs="Calibri"/>
          <w:i/>
          <w:iCs/>
          <w:color w:val="000000"/>
          <w:kern w:val="0"/>
          <w:sz w:val="22"/>
          <w:szCs w:val="22"/>
          <w:lang w:val="fr-FR" w:eastAsia="en-US"/>
        </w:rPr>
        <w:t xml:space="preserve"> cas</w:t>
      </w:r>
      <w:r w:rsidRPr="007A1E61">
        <w:rPr>
          <w:rFonts w:ascii="Calibri" w:eastAsia="Verdana" w:hAnsi="Calibri" w:cs="Calibri"/>
          <w:i/>
          <w:iCs/>
          <w:color w:val="000000"/>
          <w:kern w:val="0"/>
          <w:sz w:val="22"/>
          <w:szCs w:val="22"/>
          <w:lang w:val="fr-FR" w:eastAsia="en-US"/>
        </w:rPr>
        <w:t xml:space="preserve"> de</w:t>
      </w:r>
      <w:r w:rsidRPr="007A1E61">
        <w:rPr>
          <w:rFonts w:ascii="Calibri" w:eastAsia="Arial" w:hAnsi="Calibri" w:cs="Calibri"/>
          <w:i/>
          <w:iCs/>
          <w:color w:val="000000"/>
          <w:kern w:val="0"/>
          <w:sz w:val="22"/>
          <w:szCs w:val="22"/>
          <w:lang w:val="fr-FR" w:eastAsia="en-US"/>
        </w:rPr>
        <w:t xml:space="preserve"> dommages causés</w:t>
      </w:r>
      <w:r w:rsidRPr="007A1E61">
        <w:rPr>
          <w:rFonts w:ascii="Calibri" w:eastAsia="Verdana" w:hAnsi="Calibri" w:cs="Calibri"/>
          <w:i/>
          <w:iCs/>
          <w:color w:val="000000"/>
          <w:kern w:val="0"/>
          <w:sz w:val="22"/>
          <w:szCs w:val="22"/>
          <w:lang w:val="fr-FR" w:eastAsia="en-US"/>
        </w:rPr>
        <w:t xml:space="preserve"> par le</w:t>
      </w:r>
      <w:r w:rsidRPr="007A1E61">
        <w:rPr>
          <w:rFonts w:ascii="Calibri" w:eastAsia="Arial" w:hAnsi="Calibri" w:cs="Calibri"/>
          <w:i/>
          <w:iCs/>
          <w:color w:val="000000"/>
          <w:kern w:val="0"/>
          <w:sz w:val="22"/>
          <w:szCs w:val="22"/>
          <w:lang w:val="fr-FR" w:eastAsia="en-US"/>
        </w:rPr>
        <w:t xml:space="preserve"> travailleur à l'employeur ou à</w:t>
      </w:r>
      <w:r w:rsidRPr="007A1E61">
        <w:rPr>
          <w:rFonts w:ascii="Calibri" w:eastAsia="Verdana" w:hAnsi="Calibri" w:cs="Calibri"/>
          <w:i/>
          <w:iCs/>
          <w:color w:val="000000"/>
          <w:kern w:val="0"/>
          <w:sz w:val="22"/>
          <w:szCs w:val="22"/>
          <w:lang w:val="fr-FR" w:eastAsia="en-US"/>
        </w:rPr>
        <w:t xml:space="preserve"> des</w:t>
      </w:r>
      <w:r w:rsidRPr="007A1E61">
        <w:rPr>
          <w:rFonts w:ascii="Calibri" w:eastAsia="Arial" w:hAnsi="Calibri" w:cs="Calibri"/>
          <w:i/>
          <w:iCs/>
          <w:color w:val="000000"/>
          <w:kern w:val="0"/>
          <w:sz w:val="22"/>
          <w:szCs w:val="22"/>
          <w:lang w:val="fr-FR" w:eastAsia="en-US"/>
        </w:rPr>
        <w:t xml:space="preserve"> tiers dans l'exécution</w:t>
      </w:r>
      <w:r w:rsidRPr="007A1E61">
        <w:rPr>
          <w:rFonts w:ascii="Calibri" w:eastAsia="Verdana" w:hAnsi="Calibri" w:cs="Calibri"/>
          <w:i/>
          <w:iCs/>
          <w:color w:val="000000"/>
          <w:kern w:val="0"/>
          <w:sz w:val="22"/>
          <w:szCs w:val="22"/>
          <w:lang w:val="fr-FR" w:eastAsia="en-US"/>
        </w:rPr>
        <w:t xml:space="preserve"> de</w:t>
      </w:r>
      <w:r w:rsidRPr="007A1E61">
        <w:rPr>
          <w:rFonts w:ascii="Calibri" w:eastAsia="Arial" w:hAnsi="Calibri" w:cs="Calibri"/>
          <w:i/>
          <w:iCs/>
          <w:color w:val="000000"/>
          <w:kern w:val="0"/>
          <w:sz w:val="22"/>
          <w:szCs w:val="22"/>
          <w:lang w:val="fr-FR" w:eastAsia="en-US"/>
        </w:rPr>
        <w:t xml:space="preserve"> son contrat,</w:t>
      </w:r>
      <w:r w:rsidRPr="007A1E61">
        <w:rPr>
          <w:rFonts w:ascii="Calibri" w:eastAsia="Verdana" w:hAnsi="Calibri" w:cs="Calibri"/>
          <w:i/>
          <w:iCs/>
          <w:color w:val="000000"/>
          <w:kern w:val="0"/>
          <w:sz w:val="22"/>
          <w:szCs w:val="22"/>
          <w:lang w:val="fr-FR" w:eastAsia="en-US"/>
        </w:rPr>
        <w:t xml:space="preserve"> le</w:t>
      </w:r>
      <w:r w:rsidRPr="007A1E61">
        <w:rPr>
          <w:rFonts w:ascii="Calibri" w:eastAsia="Arial" w:hAnsi="Calibri" w:cs="Calibri"/>
          <w:i/>
          <w:iCs/>
          <w:color w:val="000000"/>
          <w:kern w:val="0"/>
          <w:sz w:val="22"/>
          <w:szCs w:val="22"/>
          <w:lang w:val="fr-FR" w:eastAsia="en-US"/>
        </w:rPr>
        <w:t xml:space="preserve"> travailleur ne répond que</w:t>
      </w:r>
      <w:r w:rsidRPr="007A1E61">
        <w:rPr>
          <w:rFonts w:ascii="Calibri" w:eastAsia="Verdana" w:hAnsi="Calibri" w:cs="Calibri"/>
          <w:i/>
          <w:iCs/>
          <w:color w:val="000000"/>
          <w:kern w:val="0"/>
          <w:sz w:val="22"/>
          <w:szCs w:val="22"/>
          <w:lang w:val="fr-FR" w:eastAsia="en-US"/>
        </w:rPr>
        <w:t xml:space="preserve"> de</w:t>
      </w:r>
      <w:r w:rsidRPr="007A1E61">
        <w:rPr>
          <w:rFonts w:ascii="Calibri" w:eastAsia="Arial" w:hAnsi="Calibri" w:cs="Calibri"/>
          <w:i/>
          <w:iCs/>
          <w:color w:val="000000"/>
          <w:kern w:val="0"/>
          <w:sz w:val="22"/>
          <w:szCs w:val="22"/>
          <w:lang w:val="fr-FR" w:eastAsia="en-US"/>
        </w:rPr>
        <w:t xml:space="preserve"> son dol</w:t>
      </w:r>
      <w:r w:rsidRPr="007A1E61">
        <w:rPr>
          <w:rFonts w:ascii="Calibri" w:eastAsia="Verdana" w:hAnsi="Calibri" w:cs="Calibri"/>
          <w:i/>
          <w:iCs/>
          <w:color w:val="000000"/>
          <w:kern w:val="0"/>
          <w:sz w:val="22"/>
          <w:szCs w:val="22"/>
          <w:lang w:val="fr-FR" w:eastAsia="en-US"/>
        </w:rPr>
        <w:t xml:space="preserve"> et de</w:t>
      </w:r>
      <w:r w:rsidRPr="007A1E61">
        <w:rPr>
          <w:rFonts w:ascii="Calibri" w:eastAsia="Arial" w:hAnsi="Calibri" w:cs="Calibri"/>
          <w:i/>
          <w:iCs/>
          <w:color w:val="000000"/>
          <w:kern w:val="0"/>
          <w:sz w:val="22"/>
          <w:szCs w:val="22"/>
          <w:lang w:val="fr-FR" w:eastAsia="en-US"/>
        </w:rPr>
        <w:t xml:space="preserve"> sa faute lourde. Il ne répond</w:t>
      </w:r>
      <w:r w:rsidRPr="007A1E61">
        <w:rPr>
          <w:rFonts w:ascii="Calibri" w:eastAsia="Verdana" w:hAnsi="Calibri" w:cs="Calibri"/>
          <w:i/>
          <w:iCs/>
          <w:color w:val="000000"/>
          <w:kern w:val="0"/>
          <w:sz w:val="22"/>
          <w:szCs w:val="22"/>
          <w:lang w:val="fr-FR" w:eastAsia="en-US"/>
        </w:rPr>
        <w:t xml:space="preserve"> de</w:t>
      </w:r>
      <w:r w:rsidRPr="007A1E61">
        <w:rPr>
          <w:rFonts w:ascii="Calibri" w:eastAsia="Arial" w:hAnsi="Calibri" w:cs="Calibri"/>
          <w:i/>
          <w:iCs/>
          <w:color w:val="000000"/>
          <w:kern w:val="0"/>
          <w:sz w:val="22"/>
          <w:szCs w:val="22"/>
          <w:lang w:val="fr-FR" w:eastAsia="en-US"/>
        </w:rPr>
        <w:t xml:space="preserve"> sa faute légère que si celle-ci présente dans son</w:t>
      </w:r>
      <w:r w:rsidRPr="007A1E61">
        <w:rPr>
          <w:rFonts w:ascii="Calibri" w:eastAsia="Verdana" w:hAnsi="Calibri" w:cs="Calibri"/>
          <w:i/>
          <w:iCs/>
          <w:color w:val="000000"/>
          <w:kern w:val="0"/>
          <w:sz w:val="22"/>
          <w:szCs w:val="22"/>
          <w:lang w:val="fr-FR" w:eastAsia="en-US"/>
        </w:rPr>
        <w:t xml:space="preserve"> chef</w:t>
      </w:r>
      <w:r w:rsidRPr="007A1E61">
        <w:rPr>
          <w:rFonts w:ascii="Calibri" w:eastAsia="Arial" w:hAnsi="Calibri" w:cs="Calibri"/>
          <w:i/>
          <w:iCs/>
          <w:color w:val="000000"/>
          <w:kern w:val="0"/>
          <w:sz w:val="22"/>
          <w:szCs w:val="22"/>
          <w:lang w:val="fr-FR" w:eastAsia="en-US"/>
        </w:rPr>
        <w:t xml:space="preserve"> un caractère habituel plutôt qu'accidentel »).</w:t>
      </w:r>
      <w:r w:rsidRPr="007A1E61">
        <w:rPr>
          <w:rFonts w:ascii="Calibri" w:eastAsia="Verdana" w:hAnsi="Calibri" w:cs="Calibri"/>
          <w:i/>
          <w:iCs/>
          <w:color w:val="000000"/>
          <w:kern w:val="0"/>
          <w:sz w:val="22"/>
          <w:szCs w:val="22"/>
          <w:lang w:val="fr-FR" w:eastAsia="en-US"/>
        </w:rPr>
        <w:t xml:space="preserve"> </w:t>
      </w:r>
    </w:p>
    <w:p w14:paraId="4C55080B" w14:textId="77777777" w:rsidR="007A1E61" w:rsidRPr="007A1E61" w:rsidRDefault="007A1E61" w:rsidP="007A1E61">
      <w:pPr>
        <w:widowControl/>
        <w:suppressAutoHyphens w:val="0"/>
        <w:autoSpaceDN/>
        <w:spacing w:before="258" w:after="160" w:line="269" w:lineRule="exact"/>
        <w:ind w:left="708" w:right="581"/>
        <w:jc w:val="both"/>
        <w:rPr>
          <w:rFonts w:ascii="Calibri" w:eastAsia="Verdana" w:hAnsi="Calibri" w:cs="Calibri"/>
          <w:i/>
          <w:iCs/>
          <w:color w:val="000000"/>
          <w:spacing w:val="1"/>
          <w:kern w:val="0"/>
          <w:sz w:val="22"/>
          <w:szCs w:val="22"/>
          <w:lang w:val="fr-FR" w:eastAsia="en-US"/>
        </w:rPr>
      </w:pPr>
      <w:r w:rsidRPr="007A1E61">
        <w:rPr>
          <w:rFonts w:ascii="Calibri" w:eastAsia="Verdana" w:hAnsi="Calibri" w:cs="Calibri"/>
          <w:i/>
          <w:iCs/>
          <w:color w:val="000000"/>
          <w:spacing w:val="1"/>
          <w:kern w:val="0"/>
          <w:sz w:val="22"/>
          <w:szCs w:val="22"/>
          <w:lang w:val="fr-FR" w:eastAsia="en-US"/>
        </w:rPr>
        <w:t>Le</w:t>
      </w:r>
      <w:r w:rsidRPr="007A1E61">
        <w:rPr>
          <w:rFonts w:ascii="Calibri" w:eastAsia="Tahoma" w:hAnsi="Calibri" w:cs="Calibri"/>
          <w:i/>
          <w:iCs/>
          <w:color w:val="000000"/>
          <w:spacing w:val="1"/>
          <w:kern w:val="0"/>
          <w:sz w:val="22"/>
          <w:szCs w:val="22"/>
          <w:lang w:val="fr-FR" w:eastAsia="en-US"/>
        </w:rPr>
        <w:t xml:space="preserve"> Tribunal</w:t>
      </w:r>
      <w:r w:rsidRPr="007A1E61">
        <w:rPr>
          <w:rFonts w:ascii="Calibri" w:eastAsia="Verdana" w:hAnsi="Calibri" w:cs="Calibri"/>
          <w:i/>
          <w:iCs/>
          <w:color w:val="000000"/>
          <w:spacing w:val="1"/>
          <w:kern w:val="0"/>
          <w:sz w:val="22"/>
          <w:szCs w:val="22"/>
          <w:lang w:val="fr-FR" w:eastAsia="en-US"/>
        </w:rPr>
        <w:t xml:space="preserve"> du</w:t>
      </w:r>
      <w:r w:rsidRPr="007A1E61">
        <w:rPr>
          <w:rFonts w:ascii="Calibri" w:eastAsia="Tahoma" w:hAnsi="Calibri" w:cs="Calibri"/>
          <w:i/>
          <w:iCs/>
          <w:color w:val="000000"/>
          <w:spacing w:val="1"/>
          <w:kern w:val="0"/>
          <w:sz w:val="22"/>
          <w:szCs w:val="22"/>
          <w:lang w:val="fr-FR" w:eastAsia="en-US"/>
        </w:rPr>
        <w:t xml:space="preserve"> travail est compétent matériellement pour connaître</w:t>
      </w:r>
      <w:r w:rsidRPr="007A1E61">
        <w:rPr>
          <w:rFonts w:ascii="Calibri" w:eastAsia="Verdana" w:hAnsi="Calibri" w:cs="Calibri"/>
          <w:i/>
          <w:iCs/>
          <w:color w:val="000000"/>
          <w:spacing w:val="1"/>
          <w:kern w:val="0"/>
          <w:sz w:val="22"/>
          <w:szCs w:val="22"/>
          <w:lang w:val="fr-FR" w:eastAsia="en-US"/>
        </w:rPr>
        <w:t xml:space="preserve"> de la</w:t>
      </w:r>
      <w:r w:rsidRPr="007A1E61">
        <w:rPr>
          <w:rFonts w:ascii="Calibri" w:eastAsia="Tahoma" w:hAnsi="Calibri" w:cs="Calibri"/>
          <w:i/>
          <w:iCs/>
          <w:color w:val="000000"/>
          <w:spacing w:val="1"/>
          <w:kern w:val="0"/>
          <w:sz w:val="22"/>
          <w:szCs w:val="22"/>
          <w:lang w:val="fr-FR" w:eastAsia="en-US"/>
        </w:rPr>
        <w:t xml:space="preserve"> demande formée</w:t>
      </w:r>
      <w:r w:rsidRPr="007A1E61">
        <w:rPr>
          <w:rFonts w:ascii="Calibri" w:eastAsia="Verdana" w:hAnsi="Calibri" w:cs="Calibri"/>
          <w:i/>
          <w:iCs/>
          <w:color w:val="000000"/>
          <w:spacing w:val="1"/>
          <w:kern w:val="0"/>
          <w:sz w:val="22"/>
          <w:szCs w:val="22"/>
          <w:lang w:val="fr-FR" w:eastAsia="en-US"/>
        </w:rPr>
        <w:t xml:space="preserve"> par</w:t>
      </w:r>
      <w:r w:rsidRPr="007A1E61">
        <w:rPr>
          <w:rFonts w:ascii="Calibri" w:eastAsia="Tahoma" w:hAnsi="Calibri" w:cs="Calibri"/>
          <w:i/>
          <w:iCs/>
          <w:color w:val="000000"/>
          <w:spacing w:val="1"/>
          <w:kern w:val="0"/>
          <w:sz w:val="22"/>
          <w:szCs w:val="22"/>
          <w:lang w:val="fr-FR" w:eastAsia="en-US"/>
        </w:rPr>
        <w:t xml:space="preserve"> l'employeur sur pied</w:t>
      </w:r>
      <w:r w:rsidRPr="007A1E61">
        <w:rPr>
          <w:rFonts w:ascii="Calibri" w:eastAsia="Verdana" w:hAnsi="Calibri" w:cs="Calibri"/>
          <w:i/>
          <w:iCs/>
          <w:color w:val="000000"/>
          <w:spacing w:val="1"/>
          <w:kern w:val="0"/>
          <w:sz w:val="22"/>
          <w:szCs w:val="22"/>
          <w:lang w:val="fr-FR" w:eastAsia="en-US"/>
        </w:rPr>
        <w:t xml:space="preserve"> de</w:t>
      </w:r>
      <w:r w:rsidRPr="007A1E61">
        <w:rPr>
          <w:rFonts w:ascii="Calibri" w:eastAsia="Tahoma" w:hAnsi="Calibri" w:cs="Calibri"/>
          <w:i/>
          <w:iCs/>
          <w:color w:val="000000"/>
          <w:spacing w:val="1"/>
          <w:kern w:val="0"/>
          <w:sz w:val="22"/>
          <w:szCs w:val="22"/>
          <w:lang w:val="fr-FR" w:eastAsia="en-US"/>
        </w:rPr>
        <w:t xml:space="preserve"> l'article</w:t>
      </w:r>
      <w:r w:rsidRPr="007A1E61">
        <w:rPr>
          <w:rFonts w:ascii="Calibri" w:eastAsia="Verdana" w:hAnsi="Calibri" w:cs="Calibri"/>
          <w:i/>
          <w:iCs/>
          <w:color w:val="000000"/>
          <w:spacing w:val="1"/>
          <w:kern w:val="0"/>
          <w:sz w:val="22"/>
          <w:szCs w:val="22"/>
          <w:lang w:val="fr-FR" w:eastAsia="en-US"/>
        </w:rPr>
        <w:t xml:space="preserve"> 18 de la</w:t>
      </w:r>
      <w:r w:rsidRPr="007A1E61">
        <w:rPr>
          <w:rFonts w:ascii="Calibri" w:eastAsia="Tahoma" w:hAnsi="Calibri" w:cs="Calibri"/>
          <w:i/>
          <w:iCs/>
          <w:color w:val="000000"/>
          <w:spacing w:val="1"/>
          <w:kern w:val="0"/>
          <w:sz w:val="22"/>
          <w:szCs w:val="22"/>
          <w:lang w:val="fr-FR" w:eastAsia="en-US"/>
        </w:rPr>
        <w:t xml:space="preserve"> loi</w:t>
      </w:r>
      <w:r w:rsidRPr="007A1E61">
        <w:rPr>
          <w:rFonts w:ascii="Calibri" w:eastAsia="Verdana" w:hAnsi="Calibri" w:cs="Calibri"/>
          <w:i/>
          <w:iCs/>
          <w:color w:val="000000"/>
          <w:spacing w:val="1"/>
          <w:kern w:val="0"/>
          <w:sz w:val="22"/>
          <w:szCs w:val="22"/>
          <w:lang w:val="fr-FR" w:eastAsia="en-US"/>
        </w:rPr>
        <w:t xml:space="preserve"> du 3/7/1978</w:t>
      </w:r>
      <w:r w:rsidRPr="007A1E61">
        <w:rPr>
          <w:rFonts w:ascii="Calibri" w:eastAsia="Tahoma" w:hAnsi="Calibri" w:cs="Calibri"/>
          <w:i/>
          <w:iCs/>
          <w:color w:val="000000"/>
          <w:spacing w:val="1"/>
          <w:kern w:val="0"/>
          <w:sz w:val="22"/>
          <w:szCs w:val="22"/>
          <w:lang w:val="fr-FR" w:eastAsia="en-US"/>
        </w:rPr>
        <w:t xml:space="preserve"> relative aux contrats</w:t>
      </w:r>
      <w:r w:rsidRPr="007A1E61">
        <w:rPr>
          <w:rFonts w:ascii="Calibri" w:eastAsia="Verdana" w:hAnsi="Calibri" w:cs="Calibri"/>
          <w:i/>
          <w:iCs/>
          <w:color w:val="000000"/>
          <w:spacing w:val="1"/>
          <w:kern w:val="0"/>
          <w:sz w:val="22"/>
          <w:szCs w:val="22"/>
          <w:lang w:val="fr-FR" w:eastAsia="en-US"/>
        </w:rPr>
        <w:t xml:space="preserve"> de</w:t>
      </w:r>
      <w:r w:rsidRPr="007A1E61">
        <w:rPr>
          <w:rFonts w:ascii="Calibri" w:eastAsia="Tahoma" w:hAnsi="Calibri" w:cs="Calibri"/>
          <w:i/>
          <w:iCs/>
          <w:color w:val="000000"/>
          <w:spacing w:val="1"/>
          <w:kern w:val="0"/>
          <w:sz w:val="22"/>
          <w:szCs w:val="22"/>
          <w:lang w:val="fr-FR" w:eastAsia="en-US"/>
        </w:rPr>
        <w:t xml:space="preserve"> travail</w:t>
      </w:r>
      <w:r w:rsidRPr="007A1E61">
        <w:rPr>
          <w:rFonts w:ascii="Calibri" w:eastAsia="Verdana" w:hAnsi="Calibri" w:cs="Calibri"/>
          <w:i/>
          <w:iCs/>
          <w:color w:val="000000"/>
          <w:spacing w:val="1"/>
          <w:kern w:val="0"/>
          <w:sz w:val="22"/>
          <w:szCs w:val="22"/>
          <w:lang w:val="fr-FR" w:eastAsia="en-US"/>
        </w:rPr>
        <w:t xml:space="preserve"> à</w:t>
      </w:r>
      <w:r w:rsidRPr="007A1E61">
        <w:rPr>
          <w:rFonts w:ascii="Calibri" w:eastAsia="Tahoma" w:hAnsi="Calibri" w:cs="Calibri"/>
          <w:i/>
          <w:iCs/>
          <w:color w:val="000000"/>
          <w:spacing w:val="1"/>
          <w:kern w:val="0"/>
          <w:sz w:val="22"/>
          <w:szCs w:val="22"/>
          <w:lang w:val="fr-FR" w:eastAsia="en-US"/>
        </w:rPr>
        <w:t xml:space="preserve"> l'encontre d'un ancien travailleur</w:t>
      </w:r>
      <w:r w:rsidRPr="007A1E61">
        <w:rPr>
          <w:rFonts w:ascii="Calibri" w:eastAsia="Verdana" w:hAnsi="Calibri" w:cs="Calibri"/>
          <w:i/>
          <w:iCs/>
          <w:color w:val="000000"/>
          <w:spacing w:val="1"/>
          <w:kern w:val="0"/>
          <w:sz w:val="22"/>
          <w:szCs w:val="22"/>
          <w:lang w:val="fr-FR" w:eastAsia="en-US"/>
        </w:rPr>
        <w:t xml:space="preserve"> en</w:t>
      </w:r>
      <w:r w:rsidRPr="007A1E61">
        <w:rPr>
          <w:rFonts w:ascii="Calibri" w:eastAsia="Tahoma" w:hAnsi="Calibri" w:cs="Calibri"/>
          <w:i/>
          <w:iCs/>
          <w:color w:val="000000"/>
          <w:spacing w:val="1"/>
          <w:kern w:val="0"/>
          <w:sz w:val="22"/>
          <w:szCs w:val="22"/>
          <w:lang w:val="fr-FR" w:eastAsia="en-US"/>
        </w:rPr>
        <w:t xml:space="preserve"> remboursement</w:t>
      </w:r>
      <w:r w:rsidRPr="007A1E61">
        <w:rPr>
          <w:rFonts w:ascii="Calibri" w:eastAsia="Verdana" w:hAnsi="Calibri" w:cs="Calibri"/>
          <w:i/>
          <w:iCs/>
          <w:color w:val="000000"/>
          <w:spacing w:val="1"/>
          <w:kern w:val="0"/>
          <w:sz w:val="22"/>
          <w:szCs w:val="22"/>
          <w:lang w:val="fr-FR" w:eastAsia="en-US"/>
        </w:rPr>
        <w:t xml:space="preserve"> de</w:t>
      </w:r>
      <w:r w:rsidRPr="007A1E61">
        <w:rPr>
          <w:rFonts w:ascii="Calibri" w:eastAsia="Tahoma" w:hAnsi="Calibri" w:cs="Calibri"/>
          <w:i/>
          <w:iCs/>
          <w:color w:val="000000"/>
          <w:spacing w:val="1"/>
          <w:kern w:val="0"/>
          <w:sz w:val="22"/>
          <w:szCs w:val="22"/>
          <w:lang w:val="fr-FR" w:eastAsia="en-US"/>
        </w:rPr>
        <w:t xml:space="preserve"> sommes détournées dans l'exécution</w:t>
      </w:r>
      <w:r w:rsidRPr="007A1E61">
        <w:rPr>
          <w:rFonts w:ascii="Calibri" w:eastAsia="Verdana" w:hAnsi="Calibri" w:cs="Calibri"/>
          <w:i/>
          <w:iCs/>
          <w:color w:val="000000"/>
          <w:spacing w:val="1"/>
          <w:kern w:val="0"/>
          <w:sz w:val="22"/>
          <w:szCs w:val="22"/>
          <w:lang w:val="fr-FR" w:eastAsia="en-US"/>
        </w:rPr>
        <w:t xml:space="preserve"> du</w:t>
      </w:r>
      <w:r w:rsidRPr="007A1E61">
        <w:rPr>
          <w:rFonts w:ascii="Calibri" w:eastAsia="Tahoma" w:hAnsi="Calibri" w:cs="Calibri"/>
          <w:i/>
          <w:iCs/>
          <w:color w:val="000000"/>
          <w:spacing w:val="1"/>
          <w:kern w:val="0"/>
          <w:sz w:val="22"/>
          <w:szCs w:val="22"/>
          <w:lang w:val="fr-FR" w:eastAsia="en-US"/>
        </w:rPr>
        <w:t xml:space="preserve"> contrat</w:t>
      </w:r>
      <w:r w:rsidRPr="007A1E61">
        <w:rPr>
          <w:rFonts w:ascii="Calibri" w:eastAsia="Verdana" w:hAnsi="Calibri" w:cs="Calibri"/>
          <w:i/>
          <w:iCs/>
          <w:color w:val="000000"/>
          <w:spacing w:val="1"/>
          <w:kern w:val="0"/>
          <w:sz w:val="22"/>
          <w:szCs w:val="22"/>
          <w:lang w:val="fr-FR" w:eastAsia="en-US"/>
        </w:rPr>
        <w:t xml:space="preserve"> de</w:t>
      </w:r>
      <w:r w:rsidRPr="007A1E61">
        <w:rPr>
          <w:rFonts w:ascii="Calibri" w:eastAsia="Tahoma" w:hAnsi="Calibri" w:cs="Calibri"/>
          <w:i/>
          <w:iCs/>
          <w:color w:val="000000"/>
          <w:spacing w:val="1"/>
          <w:kern w:val="0"/>
          <w:sz w:val="22"/>
          <w:szCs w:val="22"/>
          <w:lang w:val="fr-FR" w:eastAsia="en-US"/>
        </w:rPr>
        <w:t xml:space="preserve"> travail (Tribunal d'arrondissement</w:t>
      </w:r>
      <w:r w:rsidRPr="007A1E61">
        <w:rPr>
          <w:rFonts w:ascii="Calibri" w:eastAsia="Verdana" w:hAnsi="Calibri" w:cs="Calibri"/>
          <w:i/>
          <w:iCs/>
          <w:color w:val="000000"/>
          <w:spacing w:val="1"/>
          <w:kern w:val="0"/>
          <w:sz w:val="22"/>
          <w:szCs w:val="22"/>
          <w:lang w:val="fr-FR" w:eastAsia="en-US"/>
        </w:rPr>
        <w:t xml:space="preserve"> de</w:t>
      </w:r>
      <w:r w:rsidRPr="007A1E61">
        <w:rPr>
          <w:rFonts w:ascii="Calibri" w:eastAsia="Tahoma" w:hAnsi="Calibri" w:cs="Calibri"/>
          <w:i/>
          <w:iCs/>
          <w:color w:val="000000"/>
          <w:spacing w:val="1"/>
          <w:kern w:val="0"/>
          <w:sz w:val="22"/>
          <w:szCs w:val="22"/>
          <w:lang w:val="fr-FR" w:eastAsia="en-US"/>
        </w:rPr>
        <w:t xml:space="preserve"> Liège,</w:t>
      </w:r>
      <w:r w:rsidRPr="007A1E61">
        <w:rPr>
          <w:rFonts w:ascii="Calibri" w:eastAsia="Verdana" w:hAnsi="Calibri" w:cs="Calibri"/>
          <w:i/>
          <w:iCs/>
          <w:color w:val="000000"/>
          <w:spacing w:val="1"/>
          <w:kern w:val="0"/>
          <w:sz w:val="22"/>
          <w:szCs w:val="22"/>
          <w:lang w:val="fr-FR" w:eastAsia="en-US"/>
        </w:rPr>
        <w:t xml:space="preserve"> 9 mars 1995,</w:t>
      </w:r>
      <w:r w:rsidRPr="007A1E61">
        <w:rPr>
          <w:rFonts w:ascii="Calibri" w:eastAsia="Tahoma" w:hAnsi="Calibri" w:cs="Calibri"/>
          <w:i/>
          <w:iCs/>
          <w:color w:val="000000"/>
          <w:spacing w:val="1"/>
          <w:kern w:val="0"/>
          <w:sz w:val="22"/>
          <w:szCs w:val="22"/>
          <w:lang w:val="fr-FR" w:eastAsia="en-US"/>
        </w:rPr>
        <w:t xml:space="preserve"> Chronique</w:t>
      </w:r>
      <w:r w:rsidRPr="007A1E61">
        <w:rPr>
          <w:rFonts w:ascii="Calibri" w:eastAsia="Verdana" w:hAnsi="Calibri" w:cs="Calibri"/>
          <w:i/>
          <w:iCs/>
          <w:color w:val="000000"/>
          <w:spacing w:val="1"/>
          <w:kern w:val="0"/>
          <w:sz w:val="22"/>
          <w:szCs w:val="22"/>
          <w:lang w:val="fr-FR" w:eastAsia="en-US"/>
        </w:rPr>
        <w:t xml:space="preserve"> de</w:t>
      </w:r>
      <w:r w:rsidRPr="007A1E61">
        <w:rPr>
          <w:rFonts w:ascii="Calibri" w:eastAsia="Tahoma" w:hAnsi="Calibri" w:cs="Calibri"/>
          <w:i/>
          <w:iCs/>
          <w:color w:val="000000"/>
          <w:spacing w:val="1"/>
          <w:kern w:val="0"/>
          <w:sz w:val="22"/>
          <w:szCs w:val="22"/>
          <w:lang w:val="fr-FR" w:eastAsia="en-US"/>
        </w:rPr>
        <w:t xml:space="preserve"> droit social</w:t>
      </w:r>
      <w:r w:rsidRPr="007A1E61">
        <w:rPr>
          <w:rFonts w:ascii="Calibri" w:eastAsia="Verdana" w:hAnsi="Calibri" w:cs="Calibri"/>
          <w:i/>
          <w:iCs/>
          <w:color w:val="000000"/>
          <w:spacing w:val="1"/>
          <w:kern w:val="0"/>
          <w:sz w:val="22"/>
          <w:szCs w:val="22"/>
          <w:lang w:val="fr-FR" w:eastAsia="en-US"/>
        </w:rPr>
        <w:t xml:space="preserve"> 1995, 506)</w:t>
      </w:r>
    </w:p>
    <w:p w14:paraId="75227518" w14:textId="77777777" w:rsidR="007A1E61" w:rsidRPr="007A1E61" w:rsidRDefault="007A1E61" w:rsidP="007A1E61">
      <w:pPr>
        <w:widowControl/>
        <w:suppressAutoHyphens w:val="0"/>
        <w:autoSpaceDN/>
        <w:spacing w:before="272" w:after="160" w:line="267" w:lineRule="exact"/>
        <w:ind w:left="708" w:right="581"/>
        <w:jc w:val="both"/>
        <w:rPr>
          <w:rFonts w:ascii="Calibri" w:eastAsia="Verdana" w:hAnsi="Calibri" w:cs="Calibri"/>
          <w:color w:val="000000"/>
          <w:kern w:val="0"/>
          <w:sz w:val="18"/>
          <w:szCs w:val="22"/>
          <w:lang w:val="fr-FR" w:eastAsia="en-US"/>
        </w:rPr>
      </w:pPr>
      <w:r w:rsidRPr="007A1E61">
        <w:rPr>
          <w:rFonts w:ascii="Calibri" w:eastAsia="Verdana" w:hAnsi="Calibri" w:cs="Calibri"/>
          <w:i/>
          <w:iCs/>
          <w:color w:val="000000"/>
          <w:kern w:val="0"/>
          <w:sz w:val="22"/>
          <w:szCs w:val="22"/>
          <w:lang w:val="fr-FR" w:eastAsia="en-US"/>
        </w:rPr>
        <w:t>Le</w:t>
      </w:r>
      <w:r w:rsidRPr="007A1E61">
        <w:rPr>
          <w:rFonts w:ascii="Calibri" w:eastAsia="Tahoma" w:hAnsi="Calibri" w:cs="Calibri"/>
          <w:i/>
          <w:iCs/>
          <w:color w:val="000000"/>
          <w:kern w:val="0"/>
          <w:sz w:val="22"/>
          <w:szCs w:val="22"/>
          <w:lang w:val="fr-FR" w:eastAsia="en-US"/>
        </w:rPr>
        <w:t xml:space="preserve"> Tribunal</w:t>
      </w:r>
      <w:r w:rsidRPr="007A1E61">
        <w:rPr>
          <w:rFonts w:ascii="Calibri" w:eastAsia="Verdana" w:hAnsi="Calibri" w:cs="Calibri"/>
          <w:i/>
          <w:iCs/>
          <w:color w:val="000000"/>
          <w:kern w:val="0"/>
          <w:sz w:val="22"/>
          <w:szCs w:val="22"/>
          <w:lang w:val="fr-FR" w:eastAsia="en-US"/>
        </w:rPr>
        <w:t xml:space="preserve"> du</w:t>
      </w:r>
      <w:r w:rsidRPr="007A1E61">
        <w:rPr>
          <w:rFonts w:ascii="Calibri" w:eastAsia="Tahoma" w:hAnsi="Calibri" w:cs="Calibri"/>
          <w:i/>
          <w:iCs/>
          <w:color w:val="000000"/>
          <w:kern w:val="0"/>
          <w:sz w:val="22"/>
          <w:szCs w:val="22"/>
          <w:lang w:val="fr-FR" w:eastAsia="en-US"/>
        </w:rPr>
        <w:t xml:space="preserve"> travail est donc bien compétent pour connaître</w:t>
      </w:r>
      <w:r w:rsidRPr="007A1E61">
        <w:rPr>
          <w:rFonts w:ascii="Calibri" w:eastAsia="Verdana" w:hAnsi="Calibri" w:cs="Calibri"/>
          <w:i/>
          <w:iCs/>
          <w:color w:val="000000"/>
          <w:kern w:val="0"/>
          <w:sz w:val="22"/>
          <w:szCs w:val="22"/>
          <w:lang w:val="fr-FR" w:eastAsia="en-US"/>
        </w:rPr>
        <w:t xml:space="preserve"> de la</w:t>
      </w:r>
      <w:r w:rsidRPr="007A1E61">
        <w:rPr>
          <w:rFonts w:ascii="Calibri" w:eastAsia="Tahoma" w:hAnsi="Calibri" w:cs="Calibri"/>
          <w:i/>
          <w:iCs/>
          <w:color w:val="000000"/>
          <w:kern w:val="0"/>
          <w:sz w:val="22"/>
          <w:szCs w:val="22"/>
          <w:lang w:val="fr-FR" w:eastAsia="en-US"/>
        </w:rPr>
        <w:t xml:space="preserve"> demande</w:t>
      </w:r>
      <w:r w:rsidRPr="007A1E61">
        <w:rPr>
          <w:rFonts w:ascii="Calibri" w:eastAsia="Verdana" w:hAnsi="Calibri" w:cs="Calibri"/>
          <w:i/>
          <w:iCs/>
          <w:color w:val="000000"/>
          <w:kern w:val="0"/>
          <w:sz w:val="22"/>
          <w:szCs w:val="22"/>
          <w:lang w:val="fr-FR" w:eastAsia="en-US"/>
        </w:rPr>
        <w:t xml:space="preserve"> en</w:t>
      </w:r>
      <w:r w:rsidRPr="007A1E61">
        <w:rPr>
          <w:rFonts w:ascii="Calibri" w:eastAsia="Tahoma" w:hAnsi="Calibri" w:cs="Calibri"/>
          <w:i/>
          <w:iCs/>
          <w:color w:val="000000"/>
          <w:kern w:val="0"/>
          <w:sz w:val="22"/>
          <w:szCs w:val="22"/>
          <w:lang w:val="fr-FR" w:eastAsia="en-US"/>
        </w:rPr>
        <w:t xml:space="preserve"> vertu</w:t>
      </w:r>
      <w:r w:rsidRPr="007A1E61">
        <w:rPr>
          <w:rFonts w:ascii="Calibri" w:eastAsia="Verdana" w:hAnsi="Calibri" w:cs="Calibri"/>
          <w:i/>
          <w:iCs/>
          <w:color w:val="000000"/>
          <w:kern w:val="0"/>
          <w:sz w:val="22"/>
          <w:szCs w:val="22"/>
          <w:lang w:val="fr-FR" w:eastAsia="en-US"/>
        </w:rPr>
        <w:t xml:space="preserve"> de</w:t>
      </w:r>
      <w:r w:rsidRPr="007A1E61">
        <w:rPr>
          <w:rFonts w:ascii="Calibri" w:eastAsia="Tahoma" w:hAnsi="Calibri" w:cs="Calibri"/>
          <w:i/>
          <w:iCs/>
          <w:color w:val="000000"/>
          <w:kern w:val="0"/>
          <w:sz w:val="22"/>
          <w:szCs w:val="22"/>
          <w:lang w:val="fr-FR" w:eastAsia="en-US"/>
        </w:rPr>
        <w:t xml:space="preserve"> l'article</w:t>
      </w:r>
      <w:r w:rsidRPr="007A1E61">
        <w:rPr>
          <w:rFonts w:ascii="Calibri" w:eastAsia="Verdana" w:hAnsi="Calibri" w:cs="Calibri"/>
          <w:i/>
          <w:iCs/>
          <w:color w:val="000000"/>
          <w:kern w:val="0"/>
          <w:sz w:val="22"/>
          <w:szCs w:val="22"/>
          <w:lang w:val="fr-FR" w:eastAsia="en-US"/>
        </w:rPr>
        <w:t xml:space="preserve"> 578 1° du Code</w:t>
      </w:r>
      <w:r w:rsidRPr="007A1E61">
        <w:rPr>
          <w:rFonts w:ascii="Calibri" w:eastAsia="Tahoma" w:hAnsi="Calibri" w:cs="Calibri"/>
          <w:i/>
          <w:iCs/>
          <w:color w:val="000000"/>
          <w:kern w:val="0"/>
          <w:sz w:val="22"/>
          <w:szCs w:val="22"/>
          <w:lang w:val="fr-FR" w:eastAsia="en-US"/>
        </w:rPr>
        <w:t xml:space="preserve"> judiciaire ».</w:t>
      </w:r>
      <w:r w:rsidRPr="007A1E61">
        <w:rPr>
          <w:rFonts w:ascii="Calibri" w:eastAsia="Verdana" w:hAnsi="Calibri" w:cs="Calibri"/>
          <w:i/>
          <w:iCs/>
          <w:color w:val="000000"/>
          <w:kern w:val="0"/>
          <w:sz w:val="22"/>
          <w:szCs w:val="22"/>
          <w:lang w:val="fr-FR" w:eastAsia="en-US"/>
        </w:rPr>
        <w:t xml:space="preserve"> </w:t>
      </w:r>
    </w:p>
    <w:p w14:paraId="45F31786" w14:textId="26D593BF" w:rsidR="007A1E61" w:rsidRPr="007A1E61" w:rsidRDefault="00534B59" w:rsidP="007A1E61">
      <w:pPr>
        <w:widowControl/>
        <w:suppressAutoHyphens w:val="0"/>
        <w:autoSpaceDN/>
        <w:spacing w:after="160" w:line="256" w:lineRule="auto"/>
        <w:jc w:val="both"/>
        <w:textAlignment w:val="auto"/>
        <w:rPr>
          <w:rFonts w:ascii="Calibri" w:eastAsia="Arial" w:hAnsi="Calibri" w:cs="Calibri"/>
          <w:kern w:val="0"/>
          <w:sz w:val="22"/>
          <w:szCs w:val="22"/>
          <w:lang w:eastAsia="en-US"/>
        </w:rPr>
      </w:pPr>
      <w:r>
        <w:rPr>
          <w:rFonts w:ascii="Calibri" w:eastAsia="Arial" w:hAnsi="Calibri" w:cs="Calibri"/>
          <w:kern w:val="0"/>
          <w:sz w:val="22"/>
          <w:szCs w:val="22"/>
          <w:lang w:eastAsia="en-US"/>
        </w:rPr>
        <w:t>L</w:t>
      </w:r>
      <w:r w:rsidR="007A1E61" w:rsidRPr="007A1E61">
        <w:rPr>
          <w:rFonts w:ascii="Calibri" w:eastAsia="Arial" w:hAnsi="Calibri" w:cs="Calibri"/>
          <w:kern w:val="0"/>
          <w:sz w:val="22"/>
          <w:szCs w:val="22"/>
          <w:lang w:eastAsia="en-US"/>
        </w:rPr>
        <w:t xml:space="preserve">ié par cette décision, le Tribunal est tenu de se déclarer compétent. </w:t>
      </w:r>
    </w:p>
    <w:p w14:paraId="19DA489F" w14:textId="77777777" w:rsidR="007A1E61" w:rsidRPr="007A1E61" w:rsidRDefault="007A1E61" w:rsidP="007A1E61">
      <w:pPr>
        <w:widowControl/>
        <w:suppressAutoHyphens w:val="0"/>
        <w:autoSpaceDN/>
        <w:spacing w:after="160" w:line="256" w:lineRule="auto"/>
        <w:jc w:val="both"/>
        <w:textAlignment w:val="auto"/>
        <w:rPr>
          <w:rFonts w:ascii="Calibri" w:eastAsia="Arial" w:hAnsi="Calibri" w:cs="Calibri"/>
          <w:kern w:val="0"/>
          <w:sz w:val="22"/>
          <w:szCs w:val="22"/>
          <w:lang w:eastAsia="en-US"/>
        </w:rPr>
      </w:pPr>
      <w:r w:rsidRPr="007A1E61">
        <w:rPr>
          <w:rFonts w:ascii="Calibri" w:eastAsia="Arial" w:hAnsi="Calibri" w:cs="Calibri"/>
          <w:kern w:val="0"/>
          <w:sz w:val="22"/>
          <w:szCs w:val="22"/>
          <w:lang w:eastAsia="en-US"/>
        </w:rPr>
        <w:t xml:space="preserve">Toutefois, il importe de relever qu’en l’espèce, la société DESIGN DIFFUSION se réfère, certes, à l’article 18 de la loi sur le contrat de travail. Toutefois, sa demande principale porte sur la condamnation de son ancien employé à des dommages et intérêts, résultant d’une infraction pénale à savoir, un vol domestique. </w:t>
      </w:r>
    </w:p>
    <w:p w14:paraId="6620C68A" w14:textId="77777777" w:rsidR="007A1E61" w:rsidRPr="007A1E61" w:rsidRDefault="007A1E61" w:rsidP="007A1E61">
      <w:pPr>
        <w:widowControl/>
        <w:suppressAutoHyphens w:val="0"/>
        <w:autoSpaceDN/>
        <w:spacing w:after="160" w:line="256" w:lineRule="auto"/>
        <w:jc w:val="both"/>
        <w:textAlignment w:val="auto"/>
        <w:rPr>
          <w:rFonts w:ascii="Calibri" w:eastAsia="Arial" w:hAnsi="Calibri" w:cs="Calibri"/>
          <w:kern w:val="0"/>
          <w:sz w:val="22"/>
          <w:szCs w:val="22"/>
          <w:lang w:eastAsia="en-US"/>
        </w:rPr>
      </w:pPr>
      <w:r w:rsidRPr="007A1E61">
        <w:rPr>
          <w:rFonts w:ascii="Calibri" w:eastAsia="Arial" w:hAnsi="Calibri" w:cs="Calibri"/>
          <w:kern w:val="0"/>
          <w:sz w:val="22"/>
          <w:szCs w:val="22"/>
          <w:lang w:eastAsia="en-US"/>
        </w:rPr>
        <w:t xml:space="preserve">La demande est recevable, pour avoir été introduite dans les formes et délais légaux.  </w:t>
      </w:r>
    </w:p>
    <w:p w14:paraId="126D809D"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
          <w:kern w:val="0"/>
          <w:sz w:val="22"/>
          <w:szCs w:val="22"/>
          <w:u w:val="single"/>
          <w:lang w:eastAsia="en-US"/>
        </w:rPr>
      </w:pPr>
    </w:p>
    <w:p w14:paraId="0DEBD0C5" w14:textId="795CBB03" w:rsidR="007A1E61" w:rsidRDefault="007A1E61" w:rsidP="004A70E3">
      <w:pPr>
        <w:pStyle w:val="Paragraphedeliste"/>
        <w:widowControl/>
        <w:numPr>
          <w:ilvl w:val="0"/>
          <w:numId w:val="10"/>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sidRPr="004A70E3">
        <w:rPr>
          <w:rFonts w:ascii="Calibri" w:eastAsia="Calibri" w:hAnsi="Calibri" w:cs="Calibri"/>
          <w:b/>
          <w:kern w:val="0"/>
          <w:sz w:val="22"/>
          <w:szCs w:val="22"/>
          <w:u w:val="single"/>
          <w:lang w:eastAsia="en-US"/>
        </w:rPr>
        <w:t xml:space="preserve">L’analyse </w:t>
      </w:r>
    </w:p>
    <w:p w14:paraId="757F4C43" w14:textId="77777777" w:rsidR="00534B59" w:rsidRDefault="00534B59" w:rsidP="00534B59">
      <w:pPr>
        <w:pStyle w:val="Paragraphedeliste"/>
        <w:widowControl/>
        <w:suppressAutoHyphens w:val="0"/>
        <w:autoSpaceDN/>
        <w:spacing w:after="160" w:line="256" w:lineRule="auto"/>
        <w:ind w:left="1080"/>
        <w:jc w:val="both"/>
        <w:textAlignment w:val="auto"/>
        <w:rPr>
          <w:rFonts w:ascii="Calibri" w:eastAsia="Calibri" w:hAnsi="Calibri" w:cs="Calibri"/>
          <w:b/>
          <w:kern w:val="0"/>
          <w:sz w:val="22"/>
          <w:szCs w:val="22"/>
          <w:u w:val="single"/>
          <w:lang w:eastAsia="en-US"/>
        </w:rPr>
      </w:pPr>
    </w:p>
    <w:p w14:paraId="59847DFD" w14:textId="45D3952C" w:rsidR="00534B59" w:rsidRPr="004A70E3" w:rsidRDefault="00534B59" w:rsidP="00534B59">
      <w:pPr>
        <w:pStyle w:val="Paragraphedeliste"/>
        <w:widowControl/>
        <w:numPr>
          <w:ilvl w:val="1"/>
          <w:numId w:val="10"/>
        </w:numPr>
        <w:suppressAutoHyphens w:val="0"/>
        <w:autoSpaceDN/>
        <w:spacing w:after="160" w:line="256" w:lineRule="auto"/>
        <w:jc w:val="both"/>
        <w:textAlignment w:val="auto"/>
        <w:rPr>
          <w:rFonts w:ascii="Calibri" w:eastAsia="Calibri" w:hAnsi="Calibri" w:cs="Calibri"/>
          <w:b/>
          <w:kern w:val="0"/>
          <w:sz w:val="22"/>
          <w:szCs w:val="22"/>
          <w:u w:val="single"/>
          <w:lang w:eastAsia="en-US"/>
        </w:rPr>
      </w:pPr>
      <w:r>
        <w:rPr>
          <w:rFonts w:ascii="Calibri" w:eastAsia="Calibri" w:hAnsi="Calibri" w:cs="Calibri"/>
          <w:b/>
          <w:kern w:val="0"/>
          <w:sz w:val="22"/>
          <w:szCs w:val="22"/>
          <w:u w:val="single"/>
          <w:lang w:eastAsia="en-US"/>
        </w:rPr>
        <w:t>Application de l’article 4 du Titre préliminaire du Code de procédure pénale</w:t>
      </w:r>
    </w:p>
    <w:p w14:paraId="07AA9440" w14:textId="77777777" w:rsidR="00534B59" w:rsidRDefault="00534B59"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77004461" w14:textId="610E9658"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À l’audience du 02/03/2023, le conseil de la société DESIGN DIFFUSION renseigne que, suite à la plainte avec constitution de partie civile, une procédure pénale est toujours en cours. </w:t>
      </w:r>
    </w:p>
    <w:p w14:paraId="604C2550" w14:textId="23D2E572"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Monsieur </w:t>
      </w:r>
      <w:r w:rsidR="0008499A">
        <w:rPr>
          <w:rFonts w:ascii="Calibri" w:eastAsia="Calibri" w:hAnsi="Calibri" w:cs="Calibri"/>
          <w:bCs/>
          <w:kern w:val="0"/>
          <w:sz w:val="22"/>
          <w:szCs w:val="22"/>
          <w:lang w:eastAsia="en-US"/>
        </w:rPr>
        <w:t xml:space="preserve">V </w:t>
      </w:r>
      <w:r w:rsidRPr="007A1E61">
        <w:rPr>
          <w:rFonts w:ascii="Calibri" w:eastAsia="Calibri" w:hAnsi="Calibri" w:cs="Calibri"/>
          <w:bCs/>
          <w:kern w:val="0"/>
          <w:sz w:val="22"/>
          <w:szCs w:val="22"/>
          <w:lang w:eastAsia="en-US"/>
        </w:rPr>
        <w:t>n’a donc</w:t>
      </w:r>
      <w:r w:rsidR="00534B59">
        <w:rPr>
          <w:rFonts w:ascii="Calibri" w:eastAsia="Calibri" w:hAnsi="Calibri" w:cs="Calibri"/>
          <w:bCs/>
          <w:kern w:val="0"/>
          <w:sz w:val="22"/>
          <w:szCs w:val="22"/>
          <w:lang w:eastAsia="en-US"/>
        </w:rPr>
        <w:t xml:space="preserve"> encore</w:t>
      </w:r>
      <w:r w:rsidRPr="007A1E61">
        <w:rPr>
          <w:rFonts w:ascii="Calibri" w:eastAsia="Calibri" w:hAnsi="Calibri" w:cs="Calibri"/>
          <w:bCs/>
          <w:kern w:val="0"/>
          <w:sz w:val="22"/>
          <w:szCs w:val="22"/>
          <w:lang w:eastAsia="en-US"/>
        </w:rPr>
        <w:t xml:space="preserve"> fait l’objet d’aucune condamnation pénale. </w:t>
      </w:r>
    </w:p>
    <w:p w14:paraId="64405370" w14:textId="3AC33D6E" w:rsidR="007A1E61" w:rsidRPr="007A1E61" w:rsidRDefault="007A1E61" w:rsidP="007A1E61">
      <w:pPr>
        <w:widowControl/>
        <w:suppressAutoHyphens w:val="0"/>
        <w:autoSpaceDN/>
        <w:spacing w:after="160" w:line="256" w:lineRule="auto"/>
        <w:jc w:val="both"/>
        <w:textAlignment w:val="auto"/>
        <w:rPr>
          <w:rFonts w:ascii="Calibri" w:eastAsia="Tahoma" w:hAnsi="Calibri" w:cs="Calibri"/>
          <w:color w:val="000000"/>
          <w:kern w:val="0"/>
          <w:sz w:val="22"/>
          <w:szCs w:val="22"/>
          <w:lang w:val="fr-FR" w:eastAsia="en-US"/>
        </w:rPr>
      </w:pPr>
      <w:r w:rsidRPr="007A1E61">
        <w:rPr>
          <w:rFonts w:ascii="Calibri" w:eastAsia="Calibri" w:hAnsi="Calibri" w:cs="Calibri"/>
          <w:bCs/>
          <w:kern w:val="0"/>
          <w:sz w:val="22"/>
          <w:szCs w:val="22"/>
          <w:lang w:eastAsia="en-US"/>
        </w:rPr>
        <w:t>Premièrement, malgré ses déclarations auprès des services de police, et l</w:t>
      </w:r>
      <w:r w:rsidR="0034317A">
        <w:rPr>
          <w:rFonts w:ascii="Calibri" w:eastAsia="Calibri" w:hAnsi="Calibri" w:cs="Calibri"/>
          <w:bCs/>
          <w:kern w:val="0"/>
          <w:sz w:val="22"/>
          <w:szCs w:val="22"/>
          <w:lang w:eastAsia="en-US"/>
        </w:rPr>
        <w:t>e</w:t>
      </w:r>
      <w:r w:rsidRPr="007A1E61">
        <w:rPr>
          <w:rFonts w:ascii="Calibri" w:eastAsia="Calibri" w:hAnsi="Calibri" w:cs="Calibri"/>
          <w:bCs/>
          <w:kern w:val="0"/>
          <w:sz w:val="22"/>
          <w:szCs w:val="22"/>
          <w:lang w:eastAsia="en-US"/>
        </w:rPr>
        <w:t xml:space="preserve"> document signé par ses soins lors de son licenciement, il importe de rappeler </w:t>
      </w:r>
      <w:r w:rsidRPr="007A1E61">
        <w:rPr>
          <w:rFonts w:ascii="Calibri" w:eastAsia="Tahoma" w:hAnsi="Calibri" w:cs="Calibri"/>
          <w:color w:val="000000"/>
          <w:kern w:val="0"/>
          <w:sz w:val="22"/>
          <w:szCs w:val="22"/>
          <w:lang w:val="fr-FR" w:eastAsia="en-US"/>
        </w:rPr>
        <w:t>le principe de droit selon lequel « </w:t>
      </w:r>
      <w:r w:rsidRPr="007A1E61">
        <w:rPr>
          <w:rFonts w:ascii="Calibri" w:eastAsia="Tahoma" w:hAnsi="Calibri" w:cs="Calibri"/>
          <w:i/>
          <w:iCs/>
          <w:color w:val="000000"/>
          <w:kern w:val="0"/>
          <w:sz w:val="22"/>
          <w:szCs w:val="22"/>
          <w:lang w:val="fr-FR" w:eastAsia="en-US"/>
        </w:rPr>
        <w:t>le criminel tient le civil en état</w:t>
      </w:r>
      <w:r w:rsidRPr="007A1E61">
        <w:rPr>
          <w:rFonts w:ascii="Calibri" w:eastAsia="Tahoma" w:hAnsi="Calibri" w:cs="Calibri"/>
          <w:color w:val="000000"/>
          <w:kern w:val="0"/>
          <w:sz w:val="22"/>
          <w:szCs w:val="22"/>
          <w:lang w:val="fr-FR" w:eastAsia="en-US"/>
        </w:rPr>
        <w:t xml:space="preserve"> ». </w:t>
      </w:r>
    </w:p>
    <w:p w14:paraId="2116AB41" w14:textId="77777777" w:rsidR="00534B59"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 xml:space="preserve">Ce principe est inscrit à l’article 4, alinéa 1, de la loi du 17 avril 1878 contenant le titre préliminaire du Code de procédure pénale, selon lequel : </w:t>
      </w:r>
    </w:p>
    <w:p w14:paraId="12CDE6AD" w14:textId="1DAD5CB8" w:rsidR="007A1E61" w:rsidRDefault="00534B59" w:rsidP="00534B59">
      <w:pPr>
        <w:ind w:left="720"/>
        <w:jc w:val="both"/>
        <w:rPr>
          <w:rFonts w:asciiTheme="minorHAnsi" w:hAnsiTheme="minorHAnsi" w:cstheme="minorHAnsi"/>
          <w:sz w:val="22"/>
          <w:szCs w:val="22"/>
        </w:rPr>
      </w:pPr>
      <w:r w:rsidRPr="00534B59">
        <w:rPr>
          <w:rFonts w:asciiTheme="minorHAnsi" w:hAnsiTheme="minorHAnsi" w:cstheme="minorHAnsi"/>
          <w:sz w:val="22"/>
          <w:szCs w:val="22"/>
        </w:rPr>
        <w:t>« </w:t>
      </w:r>
      <w:r w:rsidRPr="00534B59">
        <w:rPr>
          <w:rFonts w:asciiTheme="minorHAnsi" w:hAnsiTheme="minorHAnsi" w:cstheme="minorHAnsi"/>
          <w:i/>
          <w:iCs/>
          <w:sz w:val="22"/>
          <w:szCs w:val="22"/>
        </w:rPr>
        <w:t>L'action civile peut être poursuivie en même temps et devant les mêmes juges que l'action publique. Elle peut aussi l'être séparément; dans ce cas l'exercice en est suspendu tant qu'il n'a pas été prononcé définitivement sur l'action publique, intentée avant ou pendant la poursuite de l'action civile, pour autant qu'il existe un risque de contradiction entre les décisions du juge pénal et du juge civil et sans préjudice des exceptions expressément prévues par la loi</w:t>
      </w:r>
      <w:r w:rsidRPr="00534B59">
        <w:rPr>
          <w:rFonts w:asciiTheme="minorHAnsi" w:hAnsiTheme="minorHAnsi" w:cstheme="minorHAnsi"/>
          <w:sz w:val="22"/>
          <w:szCs w:val="22"/>
        </w:rPr>
        <w:t> ».</w:t>
      </w:r>
    </w:p>
    <w:p w14:paraId="1ECAD085" w14:textId="77777777" w:rsidR="00534B59" w:rsidRPr="00534B59" w:rsidRDefault="00534B59" w:rsidP="00534B59">
      <w:pPr>
        <w:ind w:left="720"/>
        <w:jc w:val="both"/>
        <w:rPr>
          <w:rFonts w:asciiTheme="minorHAnsi" w:hAnsiTheme="minorHAnsi" w:cstheme="minorHAnsi"/>
          <w:sz w:val="22"/>
          <w:szCs w:val="22"/>
        </w:rPr>
      </w:pPr>
    </w:p>
    <w:p w14:paraId="107A7953" w14:textId="77777777" w:rsidR="0088516E" w:rsidRDefault="007A1E61" w:rsidP="007A1E61">
      <w:pPr>
        <w:widowControl/>
        <w:suppressAutoHyphens w:val="0"/>
        <w:autoSpaceDN/>
        <w:spacing w:after="160" w:line="256" w:lineRule="auto"/>
        <w:jc w:val="both"/>
        <w:textAlignment w:val="auto"/>
        <w:rPr>
          <w:rFonts w:ascii="Calibri" w:eastAsia="Calibri" w:hAnsi="Calibri" w:cs="Calibri"/>
          <w:color w:val="000000"/>
          <w:kern w:val="0"/>
          <w:sz w:val="22"/>
          <w:szCs w:val="22"/>
          <w:lang w:eastAsia="en-US"/>
        </w:rPr>
      </w:pPr>
      <w:r w:rsidRPr="007A1E61">
        <w:rPr>
          <w:rFonts w:ascii="Calibri" w:eastAsia="Calibri" w:hAnsi="Calibri" w:cs="Calibri"/>
          <w:color w:val="000000"/>
          <w:kern w:val="0"/>
          <w:sz w:val="22"/>
          <w:szCs w:val="22"/>
          <w:lang w:eastAsia="en-US"/>
        </w:rPr>
        <w:t>Cette disposition est d’ordre public</w:t>
      </w:r>
      <w:r w:rsidRPr="007A1E61">
        <w:rPr>
          <w:rFonts w:ascii="Calibri" w:eastAsia="Calibri" w:hAnsi="Calibri" w:cs="Calibri"/>
          <w:color w:val="000000"/>
          <w:kern w:val="0"/>
          <w:sz w:val="22"/>
          <w:szCs w:val="22"/>
          <w:vertAlign w:val="superscript"/>
          <w:lang w:eastAsia="en-US"/>
        </w:rPr>
        <w:footnoteReference w:id="2"/>
      </w:r>
      <w:r w:rsidRPr="007A1E61">
        <w:rPr>
          <w:rFonts w:ascii="Calibri" w:eastAsia="Calibri" w:hAnsi="Calibri" w:cs="Calibri"/>
          <w:color w:val="000000"/>
          <w:kern w:val="0"/>
          <w:sz w:val="22"/>
          <w:szCs w:val="22"/>
          <w:lang w:eastAsia="en-US"/>
        </w:rPr>
        <w:t xml:space="preserve">. </w:t>
      </w:r>
    </w:p>
    <w:p w14:paraId="00173F69" w14:textId="161DCE27" w:rsidR="007A1E61" w:rsidRDefault="00534B59" w:rsidP="007A1E61">
      <w:pPr>
        <w:widowControl/>
        <w:suppressAutoHyphens w:val="0"/>
        <w:autoSpaceDN/>
        <w:spacing w:after="160" w:line="256" w:lineRule="auto"/>
        <w:jc w:val="both"/>
        <w:textAlignment w:val="auto"/>
        <w:rPr>
          <w:rFonts w:asciiTheme="minorHAnsi" w:hAnsiTheme="minorHAnsi" w:cstheme="minorHAnsi"/>
          <w:sz w:val="22"/>
          <w:szCs w:val="22"/>
        </w:rPr>
      </w:pPr>
      <w:r w:rsidRPr="00534B59">
        <w:rPr>
          <w:rFonts w:asciiTheme="minorHAnsi" w:hAnsiTheme="minorHAnsi" w:cstheme="minorHAnsi"/>
          <w:sz w:val="22"/>
          <w:szCs w:val="22"/>
        </w:rPr>
        <w:t>Elle se justifie par le fait que le jugement pénal est en principe revêtu, à l’égard de l’action civile introduite séparément, de l’autorité de la chose jugée sur les points qui sont communs à l’action publique et à l’action civile</w:t>
      </w:r>
      <w:r w:rsidRPr="00534B59">
        <w:rPr>
          <w:rStyle w:val="Appelnotedebasdep"/>
          <w:rFonts w:asciiTheme="minorHAnsi" w:hAnsiTheme="minorHAnsi" w:cstheme="minorHAnsi"/>
          <w:sz w:val="22"/>
          <w:szCs w:val="22"/>
        </w:rPr>
        <w:footnoteReference w:id="3"/>
      </w:r>
      <w:r>
        <w:rPr>
          <w:rFonts w:asciiTheme="minorHAnsi" w:hAnsiTheme="minorHAnsi" w:cstheme="minorHAnsi"/>
          <w:sz w:val="22"/>
          <w:szCs w:val="22"/>
        </w:rPr>
        <w:t>.</w:t>
      </w:r>
    </w:p>
    <w:p w14:paraId="15BB86F6" w14:textId="3BC40340" w:rsidR="0088516E" w:rsidRPr="0088516E" w:rsidRDefault="0088516E" w:rsidP="007A1E61">
      <w:pPr>
        <w:widowControl/>
        <w:suppressAutoHyphens w:val="0"/>
        <w:autoSpaceDN/>
        <w:spacing w:after="160" w:line="256" w:lineRule="auto"/>
        <w:jc w:val="both"/>
        <w:textAlignment w:val="auto"/>
        <w:rPr>
          <w:rFonts w:asciiTheme="minorHAnsi" w:eastAsia="Calibri" w:hAnsiTheme="minorHAnsi" w:cstheme="minorHAnsi"/>
          <w:color w:val="000000"/>
          <w:kern w:val="0"/>
          <w:sz w:val="22"/>
          <w:szCs w:val="22"/>
          <w:lang w:eastAsia="en-US"/>
        </w:rPr>
      </w:pPr>
      <w:r>
        <w:rPr>
          <w:rFonts w:asciiTheme="minorHAnsi" w:hAnsiTheme="minorHAnsi" w:cstheme="minorHAnsi"/>
          <w:sz w:val="22"/>
          <w:szCs w:val="22"/>
        </w:rPr>
        <w:t xml:space="preserve">Le critère est celui du risque de contradiction entre les décisions du juge pénal et du juge civil. Ainsi, il a été écrit que : </w:t>
      </w:r>
      <w:r w:rsidRPr="0088516E">
        <w:rPr>
          <w:rFonts w:asciiTheme="minorHAnsi" w:hAnsiTheme="minorHAnsi" w:cstheme="minorHAnsi"/>
          <w:sz w:val="22"/>
          <w:szCs w:val="22"/>
        </w:rPr>
        <w:t>« </w:t>
      </w:r>
      <w:r w:rsidRPr="0088516E">
        <w:rPr>
          <w:rFonts w:asciiTheme="minorHAnsi" w:hAnsiTheme="minorHAnsi" w:cstheme="minorHAnsi"/>
          <w:i/>
          <w:iCs/>
          <w:sz w:val="22"/>
          <w:szCs w:val="22"/>
        </w:rPr>
        <w:t>L’existence d’une possibilité de points communs entre les deux actions et de l’aptitude de l’action pénale à avoir une incidence sur l’action civile suffit donc à engager la règle de l’article 4 précité. Le juge civil vérifie certes si l’action pénale invoquée n’est pas étrangère à l’objet de l’action civile. Mais l’examen ne peut (...) aller au-delà. Dès lors qu’une influence n’est pas manifestement exclue et que la règle est de veiller à la préservation de l’autorité de chose jugée du jugement pénal sur le civil, ce serait déjà (...), pour le juge civil trop en faire, que de s’invertir dans une appréciation fût-ce prima facie et sommaire, de la pertinence voire de la simple vraisemblance de l’infraction pénale qui ne relève que de l’appréciation désormais prévalente du juge pénal</w:t>
      </w:r>
      <w:r w:rsidRPr="0088516E">
        <w:rPr>
          <w:rFonts w:asciiTheme="minorHAnsi" w:hAnsiTheme="minorHAnsi" w:cstheme="minorHAnsi"/>
          <w:sz w:val="22"/>
          <w:szCs w:val="22"/>
        </w:rPr>
        <w:t> »</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p>
    <w:p w14:paraId="16E85A57" w14:textId="477F864D" w:rsidR="007A1E61" w:rsidRPr="007A1E61" w:rsidRDefault="00534B59"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Pr>
          <w:rFonts w:ascii="Calibri" w:eastAsia="Calibri" w:hAnsi="Calibri" w:cs="Calibri"/>
          <w:color w:val="000000"/>
          <w:kern w:val="0"/>
          <w:sz w:val="22"/>
          <w:szCs w:val="22"/>
          <w:lang w:eastAsia="en-US"/>
        </w:rPr>
        <w:t>Pour</w:t>
      </w:r>
      <w:r w:rsidR="007A1E61" w:rsidRPr="007A1E61">
        <w:rPr>
          <w:rFonts w:ascii="Calibri" w:eastAsia="Calibri" w:hAnsi="Calibri" w:cs="Calibri"/>
          <w:color w:val="000000"/>
          <w:kern w:val="0"/>
          <w:sz w:val="22"/>
          <w:szCs w:val="22"/>
          <w:lang w:eastAsia="en-US"/>
        </w:rPr>
        <w:t xml:space="preserve"> </w:t>
      </w:r>
      <w:r w:rsidR="007A1E61" w:rsidRPr="007A1E61">
        <w:rPr>
          <w:rFonts w:ascii="Calibri" w:eastAsia="Calibri" w:hAnsi="Calibri" w:cs="Calibri"/>
          <w:kern w:val="0"/>
          <w:sz w:val="22"/>
          <w:szCs w:val="22"/>
          <w:lang w:eastAsia="en-US"/>
        </w:rPr>
        <w:t>que l’adage « le criminel tient le civil en état » s’applique, il faut</w:t>
      </w:r>
      <w:r>
        <w:rPr>
          <w:rFonts w:ascii="Calibri" w:eastAsia="Calibri" w:hAnsi="Calibri" w:cs="Calibri"/>
          <w:kern w:val="0"/>
          <w:sz w:val="22"/>
          <w:szCs w:val="22"/>
          <w:lang w:eastAsia="en-US"/>
        </w:rPr>
        <w:t xml:space="preserve"> toutefois</w:t>
      </w:r>
      <w:r w:rsidR="007A1E61" w:rsidRPr="007A1E61">
        <w:rPr>
          <w:rFonts w:ascii="Calibri" w:eastAsia="Calibri" w:hAnsi="Calibri" w:cs="Calibri"/>
          <w:kern w:val="0"/>
          <w:sz w:val="22"/>
          <w:szCs w:val="22"/>
          <w:lang w:eastAsia="en-US"/>
        </w:rPr>
        <w:t xml:space="preserve"> que « </w:t>
      </w:r>
      <w:r w:rsidR="007A1E61" w:rsidRPr="007A1E61">
        <w:rPr>
          <w:rFonts w:ascii="Calibri" w:eastAsia="Calibri" w:hAnsi="Calibri" w:cs="Calibri"/>
          <w:i/>
          <w:iCs/>
          <w:kern w:val="0"/>
          <w:sz w:val="22"/>
          <w:szCs w:val="22"/>
          <w:lang w:eastAsia="en-US"/>
        </w:rPr>
        <w:t>l’action publique soit intentée soit par l’ouverture d’une instruction, soit par une citation directe du procureur du Roi ou de la partie civile ; une plainte suivie d’une simple information du parquet, en dehors d’une mise à l’instruction, ne peut justifier la suspension d’une instance civile</w:t>
      </w:r>
      <w:r w:rsidR="007A1E61" w:rsidRPr="007A1E61">
        <w:rPr>
          <w:rFonts w:ascii="Calibri" w:eastAsia="Calibri" w:hAnsi="Calibri" w:cs="Calibri"/>
          <w:kern w:val="0"/>
          <w:sz w:val="22"/>
          <w:szCs w:val="22"/>
          <w:lang w:eastAsia="en-US"/>
        </w:rPr>
        <w:t xml:space="preserve"> »</w:t>
      </w:r>
      <w:r w:rsidR="007A1E61" w:rsidRPr="007A1E61">
        <w:rPr>
          <w:rFonts w:ascii="Calibri" w:eastAsia="Calibri" w:hAnsi="Calibri" w:cs="Calibri"/>
          <w:kern w:val="0"/>
          <w:sz w:val="22"/>
          <w:szCs w:val="22"/>
          <w:vertAlign w:val="superscript"/>
          <w:lang w:eastAsia="en-US"/>
        </w:rPr>
        <w:footnoteReference w:id="5"/>
      </w:r>
      <w:r w:rsidR="007A1E61" w:rsidRPr="007A1E61">
        <w:rPr>
          <w:rFonts w:ascii="Calibri" w:eastAsia="Calibri" w:hAnsi="Calibri" w:cs="Calibri"/>
          <w:kern w:val="0"/>
          <w:sz w:val="22"/>
          <w:szCs w:val="22"/>
          <w:lang w:eastAsia="en-US"/>
        </w:rPr>
        <w:t>.</w:t>
      </w:r>
    </w:p>
    <w:p w14:paraId="6ADE821D"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Les principes que cette règle induit ont été récemment rappelés par la Cour du travail de Mons, dans un arrêt prononcé le 27 avril 2018</w:t>
      </w:r>
      <w:r w:rsidRPr="007A1E61">
        <w:rPr>
          <w:rFonts w:ascii="Calibri" w:eastAsia="Calibri" w:hAnsi="Calibri" w:cs="Calibri"/>
          <w:kern w:val="0"/>
          <w:sz w:val="22"/>
          <w:szCs w:val="22"/>
          <w:vertAlign w:val="superscript"/>
          <w:lang w:eastAsia="en-US"/>
        </w:rPr>
        <w:footnoteReference w:id="6"/>
      </w:r>
      <w:r w:rsidRPr="007A1E61">
        <w:rPr>
          <w:rFonts w:ascii="Calibri" w:eastAsia="Calibri" w:hAnsi="Calibri" w:cs="Calibri"/>
          <w:kern w:val="0"/>
          <w:sz w:val="22"/>
          <w:szCs w:val="22"/>
          <w:lang w:eastAsia="en-US"/>
        </w:rPr>
        <w:t xml:space="preserve"> : </w:t>
      </w:r>
    </w:p>
    <w:p w14:paraId="7532771B" w14:textId="77777777" w:rsidR="007A1E61" w:rsidRPr="007A1E61" w:rsidRDefault="007A1E61" w:rsidP="007A1E61">
      <w:pPr>
        <w:widowControl/>
        <w:suppressAutoHyphens w:val="0"/>
        <w:autoSpaceDN/>
        <w:spacing w:after="160" w:line="256" w:lineRule="auto"/>
        <w:ind w:left="2160"/>
        <w:contextualSpacing/>
        <w:jc w:val="both"/>
        <w:textAlignment w:val="auto"/>
        <w:rPr>
          <w:rFonts w:ascii="Calibri" w:eastAsia="Calibri" w:hAnsi="Calibri" w:cs="Calibri"/>
          <w:i/>
          <w:iCs/>
          <w:kern w:val="0"/>
          <w:sz w:val="22"/>
          <w:szCs w:val="22"/>
          <w:lang w:eastAsia="en-US"/>
        </w:rPr>
      </w:pPr>
      <w:r w:rsidRPr="007A1E61">
        <w:rPr>
          <w:rFonts w:ascii="Calibri" w:eastAsia="Calibri" w:hAnsi="Calibri" w:cs="Calibri"/>
          <w:kern w:val="0"/>
          <w:sz w:val="22"/>
          <w:szCs w:val="22"/>
          <w:lang w:eastAsia="en-US"/>
        </w:rPr>
        <w:t>« </w:t>
      </w:r>
      <w:r w:rsidRPr="007A1E61">
        <w:rPr>
          <w:rFonts w:ascii="Calibri" w:eastAsia="Calibri" w:hAnsi="Calibri" w:cs="Calibri"/>
          <w:i/>
          <w:iCs/>
          <w:kern w:val="0"/>
          <w:sz w:val="22"/>
          <w:szCs w:val="22"/>
          <w:lang w:eastAsia="en-US"/>
        </w:rPr>
        <w:t xml:space="preserve">1) le criminel tient le civil en état c’est-à-dire que le juge civil ne peut se prononcer tant que le juge répressif ne l’a pas fait ; </w:t>
      </w:r>
    </w:p>
    <w:p w14:paraId="2C103614" w14:textId="19BCB089" w:rsidR="007A1E61" w:rsidRDefault="007A1E61" w:rsidP="007A1E61">
      <w:pPr>
        <w:widowControl/>
        <w:suppressAutoHyphens w:val="0"/>
        <w:autoSpaceDN/>
        <w:spacing w:after="160" w:line="256" w:lineRule="auto"/>
        <w:ind w:left="2160"/>
        <w:contextualSpacing/>
        <w:jc w:val="both"/>
        <w:textAlignment w:val="auto"/>
        <w:rPr>
          <w:rFonts w:ascii="Calibri" w:eastAsia="Calibri" w:hAnsi="Calibri" w:cs="Calibri"/>
          <w:kern w:val="0"/>
          <w:sz w:val="22"/>
          <w:szCs w:val="22"/>
          <w:lang w:eastAsia="en-US"/>
        </w:rPr>
      </w:pPr>
      <w:r w:rsidRPr="007A1E61">
        <w:rPr>
          <w:rFonts w:ascii="Calibri" w:eastAsia="Calibri" w:hAnsi="Calibri" w:cs="Calibri"/>
          <w:i/>
          <w:iCs/>
          <w:kern w:val="0"/>
          <w:sz w:val="22"/>
          <w:szCs w:val="22"/>
          <w:lang w:eastAsia="en-US"/>
        </w:rPr>
        <w:t>2) et le lie avec autorité de chose jugée c’est-à-dire que le juge civil ne peut s’écarter de ce qu’a décidé le juge répressif. Encore faut-il que les faits reprochés soient de nature à rompre la confiance entre les parties et constituent un motif grave au sens de l’article 35 de la loi du 3/7/1978</w:t>
      </w:r>
      <w:r w:rsidRPr="007A1E61">
        <w:rPr>
          <w:rFonts w:ascii="Calibri" w:eastAsia="Calibri" w:hAnsi="Calibri" w:cs="Calibri"/>
          <w:kern w:val="0"/>
          <w:sz w:val="22"/>
          <w:szCs w:val="22"/>
          <w:lang w:eastAsia="en-US"/>
        </w:rPr>
        <w:t xml:space="preserve"> ». </w:t>
      </w:r>
    </w:p>
    <w:p w14:paraId="76CD373B" w14:textId="77777777" w:rsidR="0034317A" w:rsidRPr="007A1E61" w:rsidRDefault="0034317A" w:rsidP="007A1E61">
      <w:pPr>
        <w:widowControl/>
        <w:suppressAutoHyphens w:val="0"/>
        <w:autoSpaceDN/>
        <w:spacing w:after="160" w:line="256" w:lineRule="auto"/>
        <w:ind w:left="2160"/>
        <w:contextualSpacing/>
        <w:jc w:val="both"/>
        <w:textAlignment w:val="auto"/>
        <w:rPr>
          <w:rFonts w:ascii="Calibri" w:eastAsia="Calibri" w:hAnsi="Calibri" w:cs="Calibri"/>
          <w:kern w:val="0"/>
          <w:sz w:val="22"/>
          <w:szCs w:val="22"/>
          <w:lang w:eastAsia="en-US"/>
        </w:rPr>
      </w:pPr>
    </w:p>
    <w:p w14:paraId="04F76D11" w14:textId="2B22F501" w:rsidR="007A1E61" w:rsidRDefault="007A1E61" w:rsidP="007A1E61">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7A1E61">
        <w:rPr>
          <w:rFonts w:ascii="Calibri" w:eastAsia="Calibri" w:hAnsi="Calibri" w:cs="Calibri"/>
          <w:bCs/>
          <w:color w:val="000000"/>
          <w:kern w:val="0"/>
          <w:sz w:val="22"/>
          <w:szCs w:val="22"/>
          <w:lang w:val="fr-FR" w:eastAsia="en-US"/>
        </w:rPr>
        <w:t>Enfin, ce principe trouve encore une application concrète à l’article 587,7 ° du Code judiciaire, lequel dit les juridictions du travail compétente pour connaître: « </w:t>
      </w:r>
      <w:r w:rsidRPr="007A1E61">
        <w:rPr>
          <w:rFonts w:ascii="Calibri" w:eastAsia="Calibri" w:hAnsi="Calibri" w:cs="Calibri"/>
          <w:i/>
          <w:iCs/>
          <w:color w:val="000000"/>
          <w:kern w:val="0"/>
          <w:sz w:val="22"/>
          <w:szCs w:val="22"/>
          <w:shd w:val="clear" w:color="auto" w:fill="FFFFFF"/>
          <w:lang w:eastAsia="en-US"/>
        </w:rPr>
        <w:t>des contestations civiles résultant d'une infraction aux lois et arrêtés relatifs à la réglementation du travail et aux matières qui relèvent de la compétence du tribunal du travail, sans préjudice de l'application des dispositions légales qui attribuent cette compétence aux juridictions répressives lorsqu'elles sont saisies de l'action publique</w:t>
      </w:r>
      <w:r w:rsidRPr="007A1E61">
        <w:rPr>
          <w:rFonts w:ascii="Calibri" w:eastAsia="Calibri" w:hAnsi="Calibri" w:cs="Calibri"/>
          <w:color w:val="000000"/>
          <w:kern w:val="0"/>
          <w:sz w:val="22"/>
          <w:szCs w:val="22"/>
          <w:shd w:val="clear" w:color="auto" w:fill="FFFFFF"/>
          <w:lang w:eastAsia="en-US"/>
        </w:rPr>
        <w:t> ».</w:t>
      </w:r>
    </w:p>
    <w:p w14:paraId="771E0026" w14:textId="125023B5" w:rsidR="00B8433C" w:rsidRDefault="00B8433C" w:rsidP="00B8433C">
      <w:pPr>
        <w:jc w:val="both"/>
        <w:rPr>
          <w:rFonts w:asciiTheme="minorHAnsi" w:hAnsiTheme="minorHAnsi" w:cstheme="minorHAnsi"/>
          <w:sz w:val="22"/>
          <w:szCs w:val="22"/>
        </w:rPr>
      </w:pPr>
      <w:r w:rsidRPr="00B8433C">
        <w:rPr>
          <w:rFonts w:asciiTheme="minorHAnsi" w:hAnsiTheme="minorHAnsi" w:cstheme="minorHAnsi"/>
          <w:sz w:val="22"/>
          <w:szCs w:val="22"/>
        </w:rPr>
        <w:t>Comme le rappelle la Cour du travail de Bruxelles, il y a lieu de surseoir à statuer lorsque les faits sur lesquels portent l’instruction pénale ne sont pas étrangers à ceux invoqués pour motiver le licenciement litigieux</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w:t>
      </w:r>
    </w:p>
    <w:p w14:paraId="51E9D2FD" w14:textId="77777777" w:rsidR="00B8433C" w:rsidRPr="00B8433C" w:rsidRDefault="00B8433C" w:rsidP="00B8433C">
      <w:pPr>
        <w:jc w:val="both"/>
        <w:rPr>
          <w:rFonts w:asciiTheme="minorHAnsi" w:eastAsia="Calibri" w:hAnsiTheme="minorHAnsi" w:cstheme="minorHAnsi"/>
          <w:color w:val="000000"/>
          <w:kern w:val="0"/>
          <w:sz w:val="22"/>
          <w:szCs w:val="22"/>
          <w:shd w:val="clear" w:color="auto" w:fill="FFFFFF"/>
          <w:lang w:eastAsia="en-US"/>
        </w:rPr>
      </w:pPr>
    </w:p>
    <w:p w14:paraId="231FE9D0" w14:textId="4E7A3ED1" w:rsidR="007A1E61" w:rsidRPr="006B2FF7" w:rsidRDefault="007A1E61" w:rsidP="007A1E61">
      <w:pPr>
        <w:widowControl/>
        <w:suppressAutoHyphens w:val="0"/>
        <w:autoSpaceDN/>
        <w:spacing w:after="160" w:line="256" w:lineRule="auto"/>
        <w:jc w:val="both"/>
        <w:textAlignment w:val="auto"/>
        <w:rPr>
          <w:rFonts w:asciiTheme="minorHAnsi" w:eastAsia="Calibri" w:hAnsiTheme="minorHAnsi" w:cstheme="minorHAnsi"/>
          <w:color w:val="000000"/>
          <w:kern w:val="0"/>
          <w:sz w:val="22"/>
          <w:szCs w:val="22"/>
          <w:shd w:val="clear" w:color="auto" w:fill="FFFFFF"/>
          <w:lang w:eastAsia="en-US"/>
        </w:rPr>
      </w:pPr>
      <w:r w:rsidRPr="007A1E61">
        <w:rPr>
          <w:rFonts w:ascii="Calibri" w:eastAsia="Calibri" w:hAnsi="Calibri" w:cs="Calibri"/>
          <w:color w:val="000000"/>
          <w:kern w:val="0"/>
          <w:sz w:val="22"/>
          <w:szCs w:val="22"/>
          <w:shd w:val="clear" w:color="auto" w:fill="FFFFFF"/>
          <w:lang w:eastAsia="en-US"/>
        </w:rPr>
        <w:t>En l’espèce, alors que la présomption d’innocence est toujours de mise, il n’appartient pas au Tribunal de se prononcer sur la demande de condamnation à des dommages et intérêts</w:t>
      </w:r>
      <w:r w:rsidR="006B2FF7">
        <w:rPr>
          <w:rFonts w:ascii="Calibri" w:eastAsia="Calibri" w:hAnsi="Calibri" w:cs="Calibri"/>
          <w:color w:val="000000"/>
          <w:kern w:val="0"/>
          <w:sz w:val="22"/>
          <w:szCs w:val="22"/>
          <w:shd w:val="clear" w:color="auto" w:fill="FFFFFF"/>
          <w:lang w:eastAsia="en-US"/>
        </w:rPr>
        <w:t>,</w:t>
      </w:r>
      <w:r w:rsidRPr="007A1E61">
        <w:rPr>
          <w:rFonts w:ascii="Calibri" w:eastAsia="Calibri" w:hAnsi="Calibri" w:cs="Calibri"/>
          <w:color w:val="000000"/>
          <w:kern w:val="0"/>
          <w:sz w:val="22"/>
          <w:szCs w:val="22"/>
          <w:shd w:val="clear" w:color="auto" w:fill="FFFFFF"/>
          <w:lang w:eastAsia="en-US"/>
        </w:rPr>
        <w:t xml:space="preserve"> en lien causal avec une infraction pénale, tant qu’aucun jugement répressif et définitif ne se sera pas </w:t>
      </w:r>
      <w:r w:rsidRPr="006B2FF7">
        <w:rPr>
          <w:rFonts w:asciiTheme="minorHAnsi" w:eastAsia="Calibri" w:hAnsiTheme="minorHAnsi" w:cstheme="minorHAnsi"/>
          <w:color w:val="000000"/>
          <w:kern w:val="0"/>
          <w:sz w:val="22"/>
          <w:szCs w:val="22"/>
          <w:shd w:val="clear" w:color="auto" w:fill="FFFFFF"/>
          <w:lang w:eastAsia="en-US"/>
        </w:rPr>
        <w:t xml:space="preserve">prononcé sur la culpabilité, et les intérêts civils éventuels. </w:t>
      </w:r>
    </w:p>
    <w:p w14:paraId="1261CECE" w14:textId="3F03B28C" w:rsidR="006B2FF7" w:rsidRPr="006B2FF7" w:rsidRDefault="006B2FF7" w:rsidP="006B2FF7">
      <w:pPr>
        <w:jc w:val="both"/>
        <w:rPr>
          <w:rFonts w:asciiTheme="minorHAnsi" w:hAnsiTheme="minorHAnsi" w:cstheme="minorHAnsi"/>
          <w:sz w:val="22"/>
          <w:szCs w:val="22"/>
        </w:rPr>
      </w:pPr>
      <w:r w:rsidRPr="006B2FF7">
        <w:rPr>
          <w:rFonts w:asciiTheme="minorHAnsi" w:eastAsia="Calibri" w:hAnsiTheme="minorHAnsi" w:cstheme="minorHAnsi"/>
          <w:color w:val="000000"/>
          <w:kern w:val="0"/>
          <w:sz w:val="22"/>
          <w:szCs w:val="22"/>
          <w:shd w:val="clear" w:color="auto" w:fill="FFFFFF"/>
          <w:lang w:eastAsia="en-US"/>
        </w:rPr>
        <w:t xml:space="preserve">En effet, </w:t>
      </w:r>
      <w:r w:rsidRPr="006B2FF7">
        <w:rPr>
          <w:rFonts w:asciiTheme="minorHAnsi" w:hAnsiTheme="minorHAnsi" w:cstheme="minorHAnsi"/>
          <w:sz w:val="22"/>
          <w:szCs w:val="22"/>
        </w:rPr>
        <w:t>un risque manifeste de contradiction existe entre la décision du juge civil et du juge pénal, puisque les faits qui fondent la demande d’indemnisation de DESIGN DIFFUSION SCRL ne sont pas étrangers à ceux invoqués dans le cadre de la plainte déposée au pénal.</w:t>
      </w:r>
    </w:p>
    <w:p w14:paraId="42C8B49D" w14:textId="4D476CBB" w:rsidR="006B2FF7" w:rsidRPr="007A1E61" w:rsidRDefault="006B2FF7" w:rsidP="007A1E61">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p>
    <w:p w14:paraId="1A5992BA"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7A1E61">
        <w:rPr>
          <w:rFonts w:ascii="Calibri" w:eastAsia="Calibri" w:hAnsi="Calibri" w:cs="Calibri"/>
          <w:color w:val="000000"/>
          <w:kern w:val="0"/>
          <w:sz w:val="22"/>
          <w:szCs w:val="22"/>
          <w:shd w:val="clear" w:color="auto" w:fill="FFFFFF"/>
          <w:lang w:eastAsia="en-US"/>
        </w:rPr>
        <w:t>2.</w:t>
      </w:r>
    </w:p>
    <w:p w14:paraId="795EABF4"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color w:val="000000"/>
          <w:kern w:val="0"/>
          <w:sz w:val="22"/>
          <w:szCs w:val="22"/>
          <w:shd w:val="clear" w:color="auto" w:fill="FFFFFF"/>
          <w:lang w:eastAsia="en-US"/>
        </w:rPr>
      </w:pPr>
      <w:r w:rsidRPr="007A1E61">
        <w:rPr>
          <w:rFonts w:ascii="Calibri" w:eastAsia="Calibri" w:hAnsi="Calibri" w:cs="Calibri"/>
          <w:color w:val="000000"/>
          <w:kern w:val="0"/>
          <w:sz w:val="22"/>
          <w:szCs w:val="22"/>
          <w:shd w:val="clear" w:color="auto" w:fill="FFFFFF"/>
          <w:lang w:eastAsia="en-US"/>
        </w:rPr>
        <w:t>Deuxièmement, la société DESIGN DIFFUSION postule la condamnation à des dommages et intérêts, sous le bénéficie de l’article 19 alinéa 3 du Code judiciaire, dont les mesures sont intégrées par l’article 735 §2 du Code judiciaire (débats succincts assimilés).</w:t>
      </w:r>
    </w:p>
    <w:p w14:paraId="3FF7AD4C" w14:textId="77777777" w:rsidR="007A1E61" w:rsidRPr="007A1E61" w:rsidRDefault="007A1E61" w:rsidP="007A1E61">
      <w:pPr>
        <w:widowControl/>
        <w:suppressAutoHyphens w:val="0"/>
        <w:autoSpaceDN/>
        <w:spacing w:after="160" w:line="269" w:lineRule="exact"/>
        <w:ind w:right="74"/>
        <w:jc w:val="both"/>
        <w:textAlignment w:val="auto"/>
        <w:rPr>
          <w:rFonts w:ascii="Calibri" w:eastAsia="Calibri" w:hAnsi="Calibri" w:cs="Calibri"/>
          <w:kern w:val="0"/>
          <w:sz w:val="22"/>
          <w:szCs w:val="22"/>
          <w:lang w:eastAsia="en-US"/>
        </w:rPr>
      </w:pPr>
      <w:r w:rsidRPr="007A1E61">
        <w:rPr>
          <w:rFonts w:ascii="Calibri" w:eastAsia="Calibri" w:hAnsi="Calibri" w:cs="Calibri"/>
          <w:color w:val="000000"/>
          <w:kern w:val="0"/>
          <w:sz w:val="22"/>
          <w:szCs w:val="22"/>
          <w:shd w:val="clear" w:color="auto" w:fill="FFFFFF"/>
          <w:lang w:eastAsia="en-US"/>
        </w:rPr>
        <w:t>Sur ce point, il y a lieu de rappeler les termes de l’article 19, alinéa 3 précité : :</w:t>
      </w:r>
    </w:p>
    <w:p w14:paraId="1BC0079D" w14:textId="77777777" w:rsidR="007A1E61" w:rsidRPr="007A1E61" w:rsidRDefault="007A1E61" w:rsidP="007A1E61">
      <w:pPr>
        <w:widowControl/>
        <w:suppressAutoHyphens w:val="0"/>
        <w:autoSpaceDN/>
        <w:spacing w:after="160" w:line="269" w:lineRule="exact"/>
        <w:ind w:left="708" w:right="74"/>
        <w:jc w:val="both"/>
        <w:textAlignment w:val="auto"/>
        <w:rPr>
          <w:rFonts w:ascii="Calibri" w:eastAsia="Calibri" w:hAnsi="Calibri" w:cs="Calibri"/>
          <w:i/>
          <w:kern w:val="0"/>
          <w:sz w:val="22"/>
          <w:szCs w:val="22"/>
          <w:lang w:eastAsia="en-US"/>
        </w:rPr>
      </w:pPr>
      <w:r w:rsidRPr="007A1E61">
        <w:rPr>
          <w:rFonts w:ascii="Calibri" w:eastAsia="Calibri" w:hAnsi="Calibri" w:cs="Calibri"/>
          <w:kern w:val="0"/>
          <w:sz w:val="22"/>
          <w:szCs w:val="22"/>
          <w:lang w:eastAsia="en-US"/>
        </w:rPr>
        <w:t>« </w:t>
      </w:r>
      <w:r w:rsidRPr="007A1E61">
        <w:rPr>
          <w:rFonts w:ascii="Calibri" w:eastAsia="Calibri" w:hAnsi="Calibri" w:cs="Calibri"/>
          <w:i/>
          <w:kern w:val="0"/>
          <w:sz w:val="22"/>
          <w:szCs w:val="22"/>
          <w:lang w:eastAsia="en-US"/>
        </w:rPr>
        <w:t xml:space="preserve">Le juge peut, avant-dire droit, à tout stade de la procédure, ordonner une mesure préalable destinée soit instruire la demande ou à régler un incident portant sur une telle mesure, soit à </w:t>
      </w:r>
      <w:r w:rsidRPr="007A1E61">
        <w:rPr>
          <w:rFonts w:ascii="Calibri" w:eastAsia="Calibri" w:hAnsi="Calibri" w:cs="Calibri"/>
          <w:i/>
          <w:kern w:val="0"/>
          <w:sz w:val="22"/>
          <w:szCs w:val="22"/>
          <w:u w:val="single"/>
          <w:lang w:eastAsia="en-US"/>
        </w:rPr>
        <w:t>régler provisoirement la situation des parties</w:t>
      </w:r>
      <w:r w:rsidRPr="007A1E61">
        <w:rPr>
          <w:rFonts w:ascii="Calibri" w:eastAsia="Calibri" w:hAnsi="Calibri" w:cs="Calibri"/>
          <w:i/>
          <w:kern w:val="0"/>
          <w:sz w:val="22"/>
          <w:szCs w:val="22"/>
          <w:u w:val="single"/>
          <w:vertAlign w:val="superscript"/>
          <w:lang w:eastAsia="en-US"/>
        </w:rPr>
        <w:footnoteReference w:id="8"/>
      </w:r>
      <w:r w:rsidRPr="007A1E61">
        <w:rPr>
          <w:rFonts w:ascii="Calibri" w:eastAsia="Calibri" w:hAnsi="Calibri" w:cs="Calibri"/>
          <w:i/>
          <w:kern w:val="0"/>
          <w:sz w:val="22"/>
          <w:szCs w:val="22"/>
          <w:lang w:eastAsia="en-US"/>
        </w:rPr>
        <w:t xml:space="preserve">. </w:t>
      </w:r>
    </w:p>
    <w:p w14:paraId="00DC3300" w14:textId="18154D5E" w:rsidR="0034317A" w:rsidRPr="007A1E61" w:rsidRDefault="007A1E61" w:rsidP="006B2FF7">
      <w:pPr>
        <w:widowControl/>
        <w:suppressAutoHyphens w:val="0"/>
        <w:autoSpaceDN/>
        <w:spacing w:after="160" w:line="269" w:lineRule="exact"/>
        <w:ind w:left="708" w:right="74"/>
        <w:jc w:val="both"/>
        <w:textAlignment w:val="auto"/>
        <w:rPr>
          <w:rFonts w:ascii="Calibri" w:eastAsia="Calibri" w:hAnsi="Calibri" w:cs="Calibri"/>
          <w:kern w:val="0"/>
          <w:sz w:val="22"/>
          <w:szCs w:val="22"/>
          <w:lang w:eastAsia="en-US"/>
        </w:rPr>
      </w:pPr>
      <w:r w:rsidRPr="007A1E61">
        <w:rPr>
          <w:rFonts w:ascii="Calibri" w:eastAsia="Calibri" w:hAnsi="Calibri" w:cs="Calibri"/>
          <w:i/>
          <w:kern w:val="0"/>
          <w:sz w:val="22"/>
          <w:szCs w:val="22"/>
          <w:lang w:eastAsia="en-US"/>
        </w:rPr>
        <w:t>La partie la plus diligente peut, à cet effet, amener la cause devant le juge du fond à tout stade de la procédure par simple demande écrite déposée ou adressée au greffe ; le greffier convoque les parties et le cas échéant, leur avocat, partie simple ou, lorsque la partie a fait défaut à l’audience d’introduction et qu’elle n’a pas d’avocat, partie judiciaire</w:t>
      </w:r>
      <w:r w:rsidRPr="007A1E61">
        <w:rPr>
          <w:rFonts w:ascii="Calibri" w:eastAsia="Calibri" w:hAnsi="Calibri" w:cs="Calibri"/>
          <w:kern w:val="0"/>
          <w:sz w:val="22"/>
          <w:szCs w:val="22"/>
          <w:lang w:eastAsia="en-US"/>
        </w:rPr>
        <w:t xml:space="preserve"> ».</w:t>
      </w:r>
    </w:p>
    <w:p w14:paraId="24902DD1" w14:textId="77777777" w:rsidR="007A1E61" w:rsidRPr="007A1E61" w:rsidRDefault="007A1E61" w:rsidP="007A1E61">
      <w:pPr>
        <w:widowControl/>
        <w:suppressAutoHyphens w:val="0"/>
        <w:autoSpaceDN/>
        <w:spacing w:after="160" w:line="269" w:lineRule="exact"/>
        <w:ind w:right="74"/>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La demande fondée sur la base de l’article 19, aliéna 3 du Code judiciaire s’apparente au référé-provision de sorte qu’elle implique la vérification du caractère indiscutable ou, à tout le moins, « </w:t>
      </w:r>
      <w:r w:rsidRPr="007A1E61">
        <w:rPr>
          <w:rFonts w:ascii="Calibri" w:eastAsia="Calibri" w:hAnsi="Calibri" w:cs="Calibri"/>
          <w:i/>
          <w:kern w:val="0"/>
          <w:sz w:val="22"/>
          <w:szCs w:val="22"/>
          <w:lang w:eastAsia="en-US"/>
        </w:rPr>
        <w:t>non sérieusement contestable</w:t>
      </w:r>
      <w:r w:rsidRPr="007A1E61">
        <w:rPr>
          <w:rFonts w:ascii="Calibri" w:eastAsia="Calibri" w:hAnsi="Calibri" w:cs="Calibri"/>
          <w:kern w:val="0"/>
          <w:sz w:val="22"/>
          <w:szCs w:val="22"/>
          <w:lang w:eastAsia="en-US"/>
        </w:rPr>
        <w:t xml:space="preserve"> » de la créance sur la base de laquelle se fonde la demande d’une somme provisionnelle. </w:t>
      </w:r>
    </w:p>
    <w:p w14:paraId="20AD7500" w14:textId="04F49288" w:rsidR="0034317A" w:rsidRPr="006B2FF7" w:rsidRDefault="007A1E61" w:rsidP="007A1E61">
      <w:pPr>
        <w:widowControl/>
        <w:shd w:val="clear" w:color="auto" w:fill="FFFFFF"/>
        <w:suppressAutoHyphens w:val="0"/>
        <w:autoSpaceDN/>
        <w:spacing w:after="160" w:line="278" w:lineRule="exact"/>
        <w:ind w:right="75"/>
        <w:jc w:val="both"/>
        <w:textAlignment w:val="auto"/>
        <w:rPr>
          <w:rFonts w:ascii="Calibri" w:eastAsia="Calibri" w:hAnsi="Calibri" w:cs="Calibri"/>
          <w:bCs/>
          <w:color w:val="000000"/>
          <w:kern w:val="0"/>
          <w:sz w:val="22"/>
          <w:szCs w:val="22"/>
          <w:lang w:eastAsia="en-GB"/>
        </w:rPr>
      </w:pPr>
      <w:r w:rsidRPr="007A1E61">
        <w:rPr>
          <w:rFonts w:ascii="Calibri" w:eastAsia="Calibri" w:hAnsi="Calibri" w:cs="Calibri"/>
          <w:bCs/>
          <w:color w:val="000000"/>
          <w:kern w:val="0"/>
          <w:sz w:val="22"/>
          <w:szCs w:val="22"/>
          <w:lang w:eastAsia="en-GB"/>
        </w:rPr>
        <w:t xml:space="preserve">Sur la base de l’article 19, alinéa 3 du Code judiciaire, le juge du fond peut ordonner une mesure provisoire mais ne peut se prononcer de manière définitive et irrévocable sur le fond au sujet des droits contestés entre les parties. Il doit se limiter à une évaluation </w:t>
      </w:r>
      <w:r w:rsidRPr="007A1E61">
        <w:rPr>
          <w:rFonts w:ascii="Calibri" w:eastAsia="Calibri" w:hAnsi="Calibri" w:cs="Calibri"/>
          <w:bCs/>
          <w:i/>
          <w:color w:val="000000"/>
          <w:kern w:val="0"/>
          <w:sz w:val="22"/>
          <w:szCs w:val="22"/>
          <w:lang w:eastAsia="en-GB"/>
        </w:rPr>
        <w:t>prima facie</w:t>
      </w:r>
      <w:r w:rsidRPr="007A1E61">
        <w:rPr>
          <w:rFonts w:ascii="Calibri" w:eastAsia="Calibri" w:hAnsi="Calibri" w:cs="Calibri"/>
          <w:bCs/>
          <w:color w:val="000000"/>
          <w:kern w:val="0"/>
          <w:sz w:val="22"/>
          <w:szCs w:val="22"/>
          <w:lang w:eastAsia="en-GB"/>
        </w:rPr>
        <w:t xml:space="preserve"> de l’affaire, c’est-à-dire dans le cadre d’un examen sommaire de la demande et ce, afin d’équilibrer les intérêts des parties en cours de procédure. L’urgence n’est pas requise.</w:t>
      </w:r>
      <w:r w:rsidRPr="007A1E61">
        <w:rPr>
          <w:rFonts w:ascii="Calibri" w:eastAsia="Calibri" w:hAnsi="Calibri" w:cs="Calibri"/>
          <w:bCs/>
          <w:color w:val="000000"/>
          <w:kern w:val="0"/>
          <w:sz w:val="22"/>
          <w:szCs w:val="22"/>
          <w:vertAlign w:val="superscript"/>
          <w:lang w:eastAsia="en-GB"/>
        </w:rPr>
        <w:footnoteReference w:id="9"/>
      </w:r>
    </w:p>
    <w:p w14:paraId="40E1B6F0" w14:textId="7AB50D84" w:rsidR="006B2FF7" w:rsidRPr="006B2FF7" w:rsidRDefault="006B2FF7" w:rsidP="007A1E61">
      <w:pPr>
        <w:widowControl/>
        <w:suppressAutoHyphens w:val="0"/>
        <w:autoSpaceDN/>
        <w:spacing w:after="160" w:line="256" w:lineRule="auto"/>
        <w:jc w:val="both"/>
        <w:textAlignment w:val="auto"/>
        <w:rPr>
          <w:rFonts w:asciiTheme="minorHAnsi" w:eastAsia="Calibri" w:hAnsiTheme="minorHAnsi" w:cstheme="minorHAnsi"/>
          <w:bCs/>
          <w:i/>
          <w:iCs/>
          <w:kern w:val="0"/>
          <w:sz w:val="22"/>
          <w:szCs w:val="22"/>
          <w:lang w:eastAsia="en-US"/>
        </w:rPr>
      </w:pPr>
      <w:r>
        <w:rPr>
          <w:rFonts w:ascii="Calibri" w:eastAsia="Calibri" w:hAnsi="Calibri" w:cs="Calibri"/>
          <w:bCs/>
          <w:kern w:val="0"/>
          <w:sz w:val="22"/>
          <w:szCs w:val="22"/>
          <w:lang w:eastAsia="en-US"/>
        </w:rPr>
        <w:t xml:space="preserve">C’est en ce sens que A. </w:t>
      </w:r>
      <w:proofErr w:type="spellStart"/>
      <w:r>
        <w:rPr>
          <w:rFonts w:ascii="Calibri" w:eastAsia="Calibri" w:hAnsi="Calibri" w:cs="Calibri"/>
          <w:bCs/>
          <w:kern w:val="0"/>
          <w:sz w:val="22"/>
          <w:szCs w:val="22"/>
          <w:lang w:eastAsia="en-US"/>
        </w:rPr>
        <w:t>Fettweis</w:t>
      </w:r>
      <w:proofErr w:type="spellEnd"/>
      <w:r>
        <w:rPr>
          <w:rFonts w:ascii="Calibri" w:eastAsia="Calibri" w:hAnsi="Calibri" w:cs="Calibri"/>
          <w:bCs/>
          <w:kern w:val="0"/>
          <w:sz w:val="22"/>
          <w:szCs w:val="22"/>
          <w:lang w:eastAsia="en-US"/>
        </w:rPr>
        <w:t xml:space="preserve"> écrivait que </w:t>
      </w:r>
      <w:r w:rsidRPr="006B2FF7">
        <w:rPr>
          <w:rFonts w:asciiTheme="minorHAnsi" w:eastAsia="Calibri" w:hAnsiTheme="minorHAnsi" w:cstheme="minorHAnsi"/>
          <w:bCs/>
          <w:i/>
          <w:iCs/>
          <w:kern w:val="0"/>
          <w:sz w:val="22"/>
          <w:szCs w:val="22"/>
          <w:lang w:eastAsia="en-US"/>
        </w:rPr>
        <w:t>: « </w:t>
      </w:r>
      <w:r w:rsidRPr="006B2FF7">
        <w:rPr>
          <w:rFonts w:asciiTheme="minorHAnsi" w:hAnsiTheme="minorHAnsi" w:cstheme="minorHAnsi"/>
          <w:bCs/>
          <w:i/>
          <w:iCs/>
          <w:sz w:val="22"/>
          <w:szCs w:val="22"/>
        </w:rPr>
        <w:t xml:space="preserve">d'une manière plus générale, vu l'absence de préjudice au principal, la jurisprudence tend à admettre que le juge des référés peut ordonner une mesure urgente et provisoire, par exemple, une expertise, même si les faits invoqués sont à la base d'une poursuite répressive. Cette compétence doit cependant être contenue dans des limites raisonnables : elle n'autorise pas le président à se substituer au juge pénal pour dire si les faits soumis à ce dernier constituent ou ne constituent pas une infraction. </w:t>
      </w:r>
      <w:r w:rsidRPr="006B2FF7">
        <w:rPr>
          <w:rFonts w:asciiTheme="minorHAnsi" w:hAnsiTheme="minorHAnsi" w:cstheme="minorHAnsi"/>
          <w:bCs/>
          <w:i/>
          <w:iCs/>
          <w:sz w:val="22"/>
          <w:szCs w:val="22"/>
          <w:u w:val="single"/>
        </w:rPr>
        <w:t>Le juge des référés, sans pouvoir se prononcer sur les questions qui relèvent de la compétence du magistrat saisi de l'action publique, peut ordonner des mesures particulièrement urgentes et de nature conservatoire</w:t>
      </w:r>
      <w:r>
        <w:rPr>
          <w:rFonts w:asciiTheme="minorHAnsi" w:hAnsiTheme="minorHAnsi" w:cstheme="minorHAnsi"/>
          <w:bCs/>
          <w:i/>
          <w:iCs/>
          <w:sz w:val="22"/>
          <w:szCs w:val="22"/>
        </w:rPr>
        <w:t> »</w:t>
      </w:r>
      <w:r>
        <w:rPr>
          <w:rStyle w:val="Appelnotedebasdep"/>
          <w:rFonts w:asciiTheme="minorHAnsi" w:hAnsiTheme="minorHAnsi" w:cstheme="minorHAnsi"/>
          <w:bCs/>
          <w:i/>
          <w:iCs/>
          <w:sz w:val="22"/>
          <w:szCs w:val="22"/>
        </w:rPr>
        <w:footnoteReference w:id="10"/>
      </w:r>
      <w:r>
        <w:rPr>
          <w:rFonts w:asciiTheme="minorHAnsi" w:hAnsiTheme="minorHAnsi" w:cstheme="minorHAnsi"/>
          <w:bCs/>
          <w:i/>
          <w:iCs/>
          <w:sz w:val="22"/>
          <w:szCs w:val="22"/>
        </w:rPr>
        <w:t>.</w:t>
      </w:r>
    </w:p>
    <w:p w14:paraId="14BF71FF" w14:textId="486A3435" w:rsidR="007A1E61" w:rsidRPr="007A1E61" w:rsidRDefault="006B2FF7"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L’article 19 alinéa 3 du Code judiciaire ne peut être détourné de sa finalité ; il ne peut avoir pour objet de court-circuiter une future condamnation pénale, et/ou d’anticiper les futurs les intérêts civils qui en découlent (et qui devront être réclamés devant les juridictions de première instance). </w:t>
      </w:r>
      <w:r w:rsidR="007A1E61" w:rsidRPr="007A1E61">
        <w:rPr>
          <w:rFonts w:ascii="Calibri" w:eastAsia="Calibri" w:hAnsi="Calibri" w:cs="Calibri"/>
          <w:bCs/>
          <w:kern w:val="0"/>
          <w:sz w:val="22"/>
          <w:szCs w:val="22"/>
          <w:lang w:eastAsia="en-US"/>
        </w:rPr>
        <w:t>Ainsi, il a été jugé qu’une demande tendant à obtenir une condamnation définitive d’une partie à un montant provisionnel ne constitue pas une mesure avant dire droit au sens de l’article 19, alinéa 3 du Code judiciaire</w:t>
      </w:r>
      <w:r>
        <w:rPr>
          <w:rFonts w:ascii="Calibri" w:eastAsia="Calibri" w:hAnsi="Calibri" w:cs="Calibri"/>
          <w:bCs/>
          <w:kern w:val="0"/>
          <w:sz w:val="22"/>
          <w:szCs w:val="22"/>
          <w:lang w:eastAsia="en-US"/>
        </w:rPr>
        <w:t>,</w:t>
      </w:r>
      <w:r w:rsidR="007A1E61" w:rsidRPr="007A1E61">
        <w:rPr>
          <w:rFonts w:ascii="Calibri" w:eastAsia="Calibri" w:hAnsi="Calibri" w:cs="Calibri"/>
          <w:bCs/>
          <w:kern w:val="0"/>
          <w:sz w:val="22"/>
          <w:szCs w:val="22"/>
          <w:lang w:eastAsia="en-US"/>
        </w:rPr>
        <w:t xml:space="preserve"> car elle reviendrait à épuiser définitivement le pouvoir des juridictions de fond</w:t>
      </w:r>
      <w:r w:rsidR="007A1E61" w:rsidRPr="007A1E61">
        <w:rPr>
          <w:rFonts w:ascii="Calibri" w:eastAsia="Calibri" w:hAnsi="Calibri" w:cs="Calibri"/>
          <w:bCs/>
          <w:kern w:val="0"/>
          <w:sz w:val="22"/>
          <w:szCs w:val="22"/>
          <w:vertAlign w:val="superscript"/>
          <w:lang w:eastAsia="en-US"/>
        </w:rPr>
        <w:footnoteReference w:id="11"/>
      </w:r>
      <w:r w:rsidR="007A1E61" w:rsidRPr="007A1E61">
        <w:rPr>
          <w:rFonts w:ascii="Calibri" w:eastAsia="Calibri" w:hAnsi="Calibri" w:cs="Calibri"/>
          <w:bCs/>
          <w:kern w:val="0"/>
          <w:sz w:val="22"/>
          <w:szCs w:val="22"/>
          <w:lang w:eastAsia="en-US"/>
        </w:rPr>
        <w:t xml:space="preserve">. </w:t>
      </w:r>
    </w:p>
    <w:p w14:paraId="0F850AE6"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val="fr-FR" w:eastAsia="en-US"/>
        </w:rPr>
      </w:pPr>
      <w:r w:rsidRPr="007A1E61">
        <w:rPr>
          <w:rFonts w:ascii="Calibri" w:eastAsia="Calibri" w:hAnsi="Calibri" w:cs="Calibri"/>
          <w:bCs/>
          <w:kern w:val="0"/>
          <w:sz w:val="22"/>
          <w:szCs w:val="22"/>
          <w:lang w:eastAsia="en-US"/>
        </w:rPr>
        <w:t xml:space="preserve">Il a encore été écrit que </w:t>
      </w:r>
      <w:r w:rsidRPr="007A1E61">
        <w:rPr>
          <w:rFonts w:ascii="Calibri" w:eastAsia="Calibri" w:hAnsi="Calibri" w:cs="Calibri"/>
          <w:bCs/>
          <w:kern w:val="0"/>
          <w:sz w:val="22"/>
          <w:szCs w:val="22"/>
          <w:lang w:val="fr-FR" w:eastAsia="en-US"/>
        </w:rPr>
        <w:t>« </w:t>
      </w:r>
      <w:r w:rsidRPr="007A1E61">
        <w:rPr>
          <w:rFonts w:ascii="Calibri" w:eastAsia="Calibri" w:hAnsi="Calibri" w:cs="Calibri"/>
          <w:bCs/>
          <w:i/>
          <w:iCs/>
          <w:kern w:val="0"/>
          <w:sz w:val="22"/>
          <w:szCs w:val="22"/>
          <w:lang w:val="fr-FR" w:eastAsia="en-US"/>
        </w:rPr>
        <w:t>sans requérir une réelle urgence au sens du référé (notamment en ce qui concerne les délais pour introduire l'action), l'octroi d'une somme d'argent en mesure provisoire exigera néanmoins des circonstances particulières, et notamment le fait que la procédure ordinaire soit dans l'impossibilité de permettre une solution efficace un préjudice immédiat</w:t>
      </w:r>
      <w:r w:rsidRPr="007A1E61">
        <w:rPr>
          <w:rFonts w:ascii="Calibri" w:eastAsia="Calibri" w:hAnsi="Calibri" w:cs="Calibri"/>
          <w:bCs/>
          <w:kern w:val="0"/>
          <w:sz w:val="22"/>
          <w:szCs w:val="22"/>
          <w:lang w:val="fr-FR" w:eastAsia="en-US"/>
        </w:rPr>
        <w:t> »</w:t>
      </w:r>
      <w:r w:rsidRPr="007A1E61">
        <w:rPr>
          <w:rFonts w:ascii="Calibri" w:eastAsia="Calibri" w:hAnsi="Calibri" w:cs="Calibri"/>
          <w:bCs/>
          <w:kern w:val="0"/>
          <w:sz w:val="22"/>
          <w:szCs w:val="22"/>
          <w:vertAlign w:val="superscript"/>
          <w:lang w:val="fr-FR" w:eastAsia="en-US"/>
        </w:rPr>
        <w:footnoteReference w:id="12"/>
      </w:r>
      <w:r w:rsidRPr="007A1E61">
        <w:rPr>
          <w:rFonts w:ascii="Calibri" w:eastAsia="Calibri" w:hAnsi="Calibri" w:cs="Calibri"/>
          <w:bCs/>
          <w:kern w:val="0"/>
          <w:sz w:val="22"/>
          <w:szCs w:val="22"/>
          <w:lang w:val="fr-FR" w:eastAsia="en-US"/>
        </w:rPr>
        <w:t>.</w:t>
      </w:r>
    </w:p>
    <w:p w14:paraId="7DFFC310" w14:textId="75B06252"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Ainsi, il ne peut être fait droit à la demande de condamnation au paiement de la somme de 60</w:t>
      </w:r>
      <w:r w:rsidR="0034317A">
        <w:rPr>
          <w:rFonts w:ascii="Calibri" w:eastAsia="Calibri" w:hAnsi="Calibri" w:cs="Calibri"/>
          <w:bCs/>
          <w:kern w:val="0"/>
          <w:sz w:val="22"/>
          <w:szCs w:val="22"/>
          <w:lang w:eastAsia="en-US"/>
        </w:rPr>
        <w:t>.</w:t>
      </w:r>
      <w:r w:rsidRPr="007A1E61">
        <w:rPr>
          <w:rFonts w:ascii="Calibri" w:eastAsia="Calibri" w:hAnsi="Calibri" w:cs="Calibri"/>
          <w:bCs/>
          <w:kern w:val="0"/>
          <w:sz w:val="22"/>
          <w:szCs w:val="22"/>
          <w:lang w:eastAsia="en-US"/>
        </w:rPr>
        <w:t>000</w:t>
      </w:r>
      <w:r w:rsidR="0034317A">
        <w:rPr>
          <w:rFonts w:ascii="Calibri" w:eastAsia="Calibri" w:hAnsi="Calibri" w:cs="Calibri"/>
          <w:bCs/>
          <w:kern w:val="0"/>
          <w:sz w:val="22"/>
          <w:szCs w:val="22"/>
          <w:lang w:eastAsia="en-US"/>
        </w:rPr>
        <w:t>,00 </w:t>
      </w:r>
      <w:r w:rsidRPr="007A1E61">
        <w:rPr>
          <w:rFonts w:ascii="Calibri" w:eastAsia="Calibri" w:hAnsi="Calibri" w:cs="Calibri"/>
          <w:bCs/>
          <w:kern w:val="0"/>
          <w:sz w:val="22"/>
          <w:szCs w:val="22"/>
          <w:lang w:eastAsia="en-US"/>
        </w:rPr>
        <w:t xml:space="preserve">euros, sur la base de l’article 19 alinéa 3 du Code judiciaire. Non seulement </w:t>
      </w:r>
      <w:r w:rsidR="006B2FF7">
        <w:rPr>
          <w:rFonts w:ascii="Calibri" w:eastAsia="Calibri" w:hAnsi="Calibri" w:cs="Calibri"/>
          <w:bCs/>
          <w:kern w:val="0"/>
          <w:sz w:val="22"/>
          <w:szCs w:val="22"/>
          <w:lang w:eastAsia="en-US"/>
        </w:rPr>
        <w:t xml:space="preserve">le quantum </w:t>
      </w:r>
      <w:r w:rsidRPr="007A1E61">
        <w:rPr>
          <w:rFonts w:ascii="Calibri" w:eastAsia="Calibri" w:hAnsi="Calibri" w:cs="Calibri"/>
          <w:bCs/>
          <w:kern w:val="0"/>
          <w:sz w:val="22"/>
          <w:szCs w:val="22"/>
          <w:lang w:eastAsia="en-US"/>
        </w:rPr>
        <w:t xml:space="preserve">est contesté par </w:t>
      </w:r>
      <w:r w:rsidR="0034317A">
        <w:rPr>
          <w:rFonts w:ascii="Calibri" w:eastAsia="Calibri" w:hAnsi="Calibri" w:cs="Calibri"/>
          <w:bCs/>
          <w:kern w:val="0"/>
          <w:sz w:val="22"/>
          <w:szCs w:val="22"/>
          <w:lang w:eastAsia="en-US"/>
        </w:rPr>
        <w:t>M</w:t>
      </w:r>
      <w:r w:rsidRPr="007A1E61">
        <w:rPr>
          <w:rFonts w:ascii="Calibri" w:eastAsia="Calibri" w:hAnsi="Calibri" w:cs="Calibri"/>
          <w:bCs/>
          <w:kern w:val="0"/>
          <w:sz w:val="22"/>
          <w:szCs w:val="22"/>
          <w:lang w:eastAsia="en-US"/>
        </w:rPr>
        <w:t xml:space="preserve">onsieur </w:t>
      </w:r>
      <w:r w:rsidR="0008499A">
        <w:rPr>
          <w:rFonts w:ascii="Calibri" w:eastAsia="Calibri" w:hAnsi="Calibri" w:cs="Calibri"/>
          <w:bCs/>
          <w:kern w:val="0"/>
          <w:sz w:val="22"/>
          <w:szCs w:val="22"/>
          <w:lang w:eastAsia="en-US"/>
        </w:rPr>
        <w:t>V</w:t>
      </w:r>
      <w:r w:rsidRPr="007A1E61">
        <w:rPr>
          <w:rFonts w:ascii="Calibri" w:eastAsia="Calibri" w:hAnsi="Calibri" w:cs="Calibri"/>
          <w:bCs/>
          <w:kern w:val="0"/>
          <w:sz w:val="22"/>
          <w:szCs w:val="22"/>
          <w:lang w:eastAsia="en-US"/>
        </w:rPr>
        <w:t xml:space="preserve">, comme cela ressort de son audition auprès des services de police, mais son montant </w:t>
      </w:r>
      <w:r w:rsidR="006B2FF7">
        <w:rPr>
          <w:rFonts w:ascii="Calibri" w:eastAsia="Calibri" w:hAnsi="Calibri" w:cs="Calibri"/>
          <w:bCs/>
          <w:kern w:val="0"/>
          <w:sz w:val="22"/>
          <w:szCs w:val="22"/>
          <w:lang w:eastAsia="en-US"/>
        </w:rPr>
        <w:t xml:space="preserve">pourrait </w:t>
      </w:r>
      <w:r w:rsidRPr="007A1E61">
        <w:rPr>
          <w:rFonts w:ascii="Calibri" w:eastAsia="Calibri" w:hAnsi="Calibri" w:cs="Calibri"/>
          <w:bCs/>
          <w:kern w:val="0"/>
          <w:sz w:val="22"/>
          <w:szCs w:val="22"/>
          <w:lang w:eastAsia="en-US"/>
        </w:rPr>
        <w:t>correspond à ce que serait incontestablement du</w:t>
      </w:r>
      <w:r w:rsidR="006B2FF7">
        <w:rPr>
          <w:rFonts w:ascii="Calibri" w:eastAsia="Calibri" w:hAnsi="Calibri" w:cs="Calibri"/>
          <w:bCs/>
          <w:kern w:val="0"/>
          <w:sz w:val="22"/>
          <w:szCs w:val="22"/>
          <w:lang w:eastAsia="en-US"/>
        </w:rPr>
        <w:t xml:space="preserve">. Dès lors, l’objet de la demande </w:t>
      </w:r>
      <w:r w:rsidRPr="007A1E61">
        <w:rPr>
          <w:rFonts w:ascii="Calibri" w:eastAsia="Calibri" w:hAnsi="Calibri" w:cs="Calibri"/>
          <w:bCs/>
          <w:kern w:val="0"/>
          <w:sz w:val="22"/>
          <w:szCs w:val="22"/>
          <w:lang w:eastAsia="en-US"/>
        </w:rPr>
        <w:t xml:space="preserve">exclut, par nature, un octroi à titre provisionnel. </w:t>
      </w:r>
    </w:p>
    <w:p w14:paraId="57EB2EC7" w14:textId="65B8EB80"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Par ailleurs, la société DESIGN DIFFUSION dépose une ordonnance prononcée par le juge des saisies du Tribunal de </w:t>
      </w:r>
      <w:r w:rsidR="0034317A">
        <w:rPr>
          <w:rFonts w:ascii="Calibri" w:eastAsia="Calibri" w:hAnsi="Calibri" w:cs="Calibri"/>
          <w:bCs/>
          <w:kern w:val="0"/>
          <w:sz w:val="22"/>
          <w:szCs w:val="22"/>
          <w:lang w:eastAsia="en-US"/>
        </w:rPr>
        <w:t>P</w:t>
      </w:r>
      <w:r w:rsidRPr="007A1E61">
        <w:rPr>
          <w:rFonts w:ascii="Calibri" w:eastAsia="Calibri" w:hAnsi="Calibri" w:cs="Calibri"/>
          <w:bCs/>
          <w:kern w:val="0"/>
          <w:sz w:val="22"/>
          <w:szCs w:val="22"/>
          <w:lang w:eastAsia="en-US"/>
        </w:rPr>
        <w:t xml:space="preserve">remière </w:t>
      </w:r>
      <w:r w:rsidR="0034317A">
        <w:rPr>
          <w:rFonts w:ascii="Calibri" w:eastAsia="Calibri" w:hAnsi="Calibri" w:cs="Calibri"/>
          <w:bCs/>
          <w:kern w:val="0"/>
          <w:sz w:val="22"/>
          <w:szCs w:val="22"/>
          <w:lang w:eastAsia="en-US"/>
        </w:rPr>
        <w:t>I</w:t>
      </w:r>
      <w:r w:rsidRPr="007A1E61">
        <w:rPr>
          <w:rFonts w:ascii="Calibri" w:eastAsia="Calibri" w:hAnsi="Calibri" w:cs="Calibri"/>
          <w:bCs/>
          <w:kern w:val="0"/>
          <w:sz w:val="22"/>
          <w:szCs w:val="22"/>
          <w:lang w:eastAsia="en-US"/>
        </w:rPr>
        <w:t>nstance de LIEGE, le 21/09/2021 ; la société est autorisée à saisie-arrêter, à titre conservatoire, entre les mains d’une banque, la somme de 60</w:t>
      </w:r>
      <w:r w:rsidR="0034317A">
        <w:rPr>
          <w:rFonts w:ascii="Calibri" w:eastAsia="Calibri" w:hAnsi="Calibri" w:cs="Calibri"/>
          <w:bCs/>
          <w:kern w:val="0"/>
          <w:sz w:val="22"/>
          <w:szCs w:val="22"/>
          <w:lang w:eastAsia="en-US"/>
        </w:rPr>
        <w:t>.</w:t>
      </w:r>
      <w:r w:rsidRPr="007A1E61">
        <w:rPr>
          <w:rFonts w:ascii="Calibri" w:eastAsia="Calibri" w:hAnsi="Calibri" w:cs="Calibri"/>
          <w:bCs/>
          <w:kern w:val="0"/>
          <w:sz w:val="22"/>
          <w:szCs w:val="22"/>
          <w:lang w:eastAsia="en-US"/>
        </w:rPr>
        <w:t>000</w:t>
      </w:r>
      <w:r w:rsidR="0034317A">
        <w:rPr>
          <w:rFonts w:ascii="Calibri" w:eastAsia="Calibri" w:hAnsi="Calibri" w:cs="Calibri"/>
          <w:bCs/>
          <w:kern w:val="0"/>
          <w:sz w:val="22"/>
          <w:szCs w:val="22"/>
          <w:lang w:eastAsia="en-US"/>
        </w:rPr>
        <w:t>,00 </w:t>
      </w:r>
      <w:r w:rsidRPr="007A1E61">
        <w:rPr>
          <w:rFonts w:ascii="Calibri" w:eastAsia="Calibri" w:hAnsi="Calibri" w:cs="Calibri"/>
          <w:bCs/>
          <w:kern w:val="0"/>
          <w:sz w:val="22"/>
          <w:szCs w:val="22"/>
          <w:lang w:eastAsia="en-US"/>
        </w:rPr>
        <w:t>euros en principal.</w:t>
      </w:r>
    </w:p>
    <w:p w14:paraId="746E6CC5" w14:textId="737988B9"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La demande de condamnation provisionnelle, formulée devant la présente juridiction, fait double emploi avec cette décision. La société DESIGN DIFFUSION ne démontre ainsi aucune nécessité, pour sauvegarder ses droits, de condamner provisionnellement </w:t>
      </w:r>
      <w:r w:rsidR="0034317A">
        <w:rPr>
          <w:rFonts w:ascii="Calibri" w:eastAsia="Calibri" w:hAnsi="Calibri" w:cs="Calibri"/>
          <w:bCs/>
          <w:kern w:val="0"/>
          <w:sz w:val="22"/>
          <w:szCs w:val="22"/>
          <w:lang w:eastAsia="en-US"/>
        </w:rPr>
        <w:t>M</w:t>
      </w:r>
      <w:r w:rsidRPr="007A1E61">
        <w:rPr>
          <w:rFonts w:ascii="Calibri" w:eastAsia="Calibri" w:hAnsi="Calibri" w:cs="Calibri"/>
          <w:bCs/>
          <w:kern w:val="0"/>
          <w:sz w:val="22"/>
          <w:szCs w:val="22"/>
          <w:lang w:eastAsia="en-US"/>
        </w:rPr>
        <w:t>onsieur</w:t>
      </w:r>
      <w:r w:rsidR="0034317A">
        <w:rPr>
          <w:rFonts w:ascii="Calibri" w:eastAsia="Calibri" w:hAnsi="Calibri" w:cs="Calibri"/>
          <w:bCs/>
          <w:kern w:val="0"/>
          <w:sz w:val="22"/>
          <w:szCs w:val="22"/>
          <w:lang w:eastAsia="en-US"/>
        </w:rPr>
        <w:t> </w:t>
      </w:r>
      <w:r w:rsidR="0008499A">
        <w:rPr>
          <w:rFonts w:ascii="Calibri" w:eastAsia="Calibri" w:hAnsi="Calibri" w:cs="Calibri"/>
          <w:bCs/>
          <w:kern w:val="0"/>
          <w:sz w:val="22"/>
          <w:szCs w:val="22"/>
          <w:lang w:eastAsia="en-US"/>
        </w:rPr>
        <w:t>V</w:t>
      </w:r>
      <w:r w:rsidRPr="007A1E61">
        <w:rPr>
          <w:rFonts w:ascii="Calibri" w:eastAsia="Calibri" w:hAnsi="Calibri" w:cs="Calibri"/>
          <w:bCs/>
          <w:kern w:val="0"/>
          <w:sz w:val="22"/>
          <w:szCs w:val="22"/>
          <w:lang w:eastAsia="en-US"/>
        </w:rPr>
        <w:t xml:space="preserve">. </w:t>
      </w:r>
      <w:r w:rsidR="006B2FF7">
        <w:rPr>
          <w:rFonts w:ascii="Calibri" w:eastAsia="Calibri" w:hAnsi="Calibri" w:cs="Calibri"/>
          <w:bCs/>
          <w:kern w:val="0"/>
          <w:sz w:val="22"/>
          <w:szCs w:val="22"/>
          <w:lang w:eastAsia="en-US"/>
        </w:rPr>
        <w:t xml:space="preserve">La saisie-arrêt conservatoire préserve à suffisance ses intérêts. </w:t>
      </w:r>
    </w:p>
    <w:p w14:paraId="4B4FB1A9" w14:textId="5E180300" w:rsid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La finalité de l’article 19 alinéa 3 du Code judiciaire n’est pas rencontré en l’espèce. La mesure ne peut être une voie détournée pour obtenir une condamnation définitive aux sommes présumées détournées par </w:t>
      </w:r>
      <w:r w:rsidR="0034317A">
        <w:rPr>
          <w:rFonts w:ascii="Calibri" w:eastAsia="Calibri" w:hAnsi="Calibri" w:cs="Calibri"/>
          <w:bCs/>
          <w:kern w:val="0"/>
          <w:sz w:val="22"/>
          <w:szCs w:val="22"/>
          <w:lang w:eastAsia="en-US"/>
        </w:rPr>
        <w:t>M</w:t>
      </w:r>
      <w:r w:rsidRPr="007A1E61">
        <w:rPr>
          <w:rFonts w:ascii="Calibri" w:eastAsia="Calibri" w:hAnsi="Calibri" w:cs="Calibri"/>
          <w:bCs/>
          <w:kern w:val="0"/>
          <w:sz w:val="22"/>
          <w:szCs w:val="22"/>
          <w:lang w:eastAsia="en-US"/>
        </w:rPr>
        <w:t xml:space="preserve">onsieur </w:t>
      </w:r>
      <w:r w:rsidR="0008499A">
        <w:rPr>
          <w:rFonts w:ascii="Calibri" w:eastAsia="Calibri" w:hAnsi="Calibri" w:cs="Calibri"/>
          <w:bCs/>
          <w:kern w:val="0"/>
          <w:sz w:val="22"/>
          <w:szCs w:val="22"/>
          <w:lang w:eastAsia="en-US"/>
        </w:rPr>
        <w:t>V</w:t>
      </w:r>
      <w:r w:rsidRPr="007A1E61">
        <w:rPr>
          <w:rFonts w:ascii="Calibri" w:eastAsia="Calibri" w:hAnsi="Calibri" w:cs="Calibri"/>
          <w:bCs/>
          <w:kern w:val="0"/>
          <w:sz w:val="22"/>
          <w:szCs w:val="22"/>
          <w:lang w:eastAsia="en-US"/>
        </w:rPr>
        <w:t>, alors que les droits de la société sont préservés par la saisie-arrêt conservatoire</w:t>
      </w:r>
      <w:r w:rsidR="006B2FF7">
        <w:rPr>
          <w:rFonts w:ascii="Calibri" w:eastAsia="Calibri" w:hAnsi="Calibri" w:cs="Calibri"/>
          <w:bCs/>
          <w:kern w:val="0"/>
          <w:sz w:val="22"/>
          <w:szCs w:val="22"/>
          <w:lang w:eastAsia="en-US"/>
        </w:rPr>
        <w:t xml:space="preserve"> et que des intérêts civils pourront être sollicités devant le juge </w:t>
      </w:r>
      <w:proofErr w:type="spellStart"/>
      <w:r w:rsidR="006B2FF7">
        <w:rPr>
          <w:rFonts w:ascii="Calibri" w:eastAsia="Calibri" w:hAnsi="Calibri" w:cs="Calibri"/>
          <w:bCs/>
          <w:kern w:val="0"/>
          <w:sz w:val="22"/>
          <w:szCs w:val="22"/>
          <w:lang w:eastAsia="en-US"/>
        </w:rPr>
        <w:t>représsif</w:t>
      </w:r>
      <w:proofErr w:type="spellEnd"/>
      <w:r w:rsidR="006B2FF7">
        <w:rPr>
          <w:rFonts w:ascii="Calibri" w:eastAsia="Calibri" w:hAnsi="Calibri" w:cs="Calibri"/>
          <w:bCs/>
          <w:kern w:val="0"/>
          <w:sz w:val="22"/>
          <w:szCs w:val="22"/>
          <w:lang w:eastAsia="en-US"/>
        </w:rPr>
        <w:t xml:space="preserve">. </w:t>
      </w:r>
    </w:p>
    <w:p w14:paraId="4B5F700B"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3.</w:t>
      </w:r>
    </w:p>
    <w:p w14:paraId="275A330F"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En conclusion, il convient de dire la demande provisionnelle non-fondée.</w:t>
      </w:r>
    </w:p>
    <w:p w14:paraId="1382D380" w14:textId="0D51B6EA" w:rsidR="007A1E61" w:rsidRDefault="007A1E61"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r w:rsidRPr="007A1E61">
        <w:rPr>
          <w:rFonts w:ascii="Calibri" w:eastAsia="Calibri" w:hAnsi="Calibri" w:cs="Calibri"/>
          <w:bCs/>
          <w:kern w:val="0"/>
          <w:sz w:val="22"/>
          <w:szCs w:val="22"/>
          <w:lang w:eastAsia="en-US"/>
        </w:rPr>
        <w:t xml:space="preserve">Concernant la demande de condamnation à des dommages et intérêts, il y a lieu de sursoir à statuer, dans l’attente de la clôture de la procédure pénale. </w:t>
      </w:r>
    </w:p>
    <w:p w14:paraId="6E4A7685" w14:textId="77777777" w:rsidR="0034317A" w:rsidRPr="007A1E61" w:rsidRDefault="0034317A" w:rsidP="007A1E61">
      <w:pPr>
        <w:widowControl/>
        <w:suppressAutoHyphens w:val="0"/>
        <w:autoSpaceDN/>
        <w:spacing w:after="160" w:line="256" w:lineRule="auto"/>
        <w:jc w:val="both"/>
        <w:textAlignment w:val="auto"/>
        <w:rPr>
          <w:rFonts w:ascii="Calibri" w:eastAsia="Calibri" w:hAnsi="Calibri" w:cs="Calibri"/>
          <w:bCs/>
          <w:kern w:val="0"/>
          <w:sz w:val="22"/>
          <w:szCs w:val="22"/>
          <w:lang w:eastAsia="en-US"/>
        </w:rPr>
      </w:pPr>
    </w:p>
    <w:p w14:paraId="1CF8A347" w14:textId="77777777" w:rsidR="007A1E61" w:rsidRPr="007A1E61" w:rsidRDefault="007A1E61" w:rsidP="007A1E61">
      <w:pPr>
        <w:widowControl/>
        <w:suppressAutoHyphens w:val="0"/>
        <w:autoSpaceDN/>
        <w:spacing w:after="160" w:line="256" w:lineRule="auto"/>
        <w:jc w:val="center"/>
        <w:textAlignment w:val="auto"/>
        <w:rPr>
          <w:rFonts w:ascii="Calibri" w:eastAsia="Calibri" w:hAnsi="Calibri" w:cs="Calibri"/>
          <w:b/>
          <w:kern w:val="0"/>
          <w:sz w:val="22"/>
          <w:szCs w:val="22"/>
          <w:u w:val="double"/>
          <w:lang w:eastAsia="en-US"/>
        </w:rPr>
      </w:pPr>
      <w:r w:rsidRPr="007A1E61">
        <w:rPr>
          <w:rFonts w:ascii="Calibri" w:eastAsia="Calibri" w:hAnsi="Calibri" w:cs="Calibri"/>
          <w:b/>
          <w:kern w:val="0"/>
          <w:sz w:val="22"/>
          <w:szCs w:val="22"/>
          <w:u w:val="double"/>
          <w:lang w:eastAsia="en-US"/>
        </w:rPr>
        <w:t>DECISION DU TRIBUNAL</w:t>
      </w:r>
    </w:p>
    <w:p w14:paraId="099CA31A"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p>
    <w:p w14:paraId="5929DAC9"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Le Tribunal, statuant publiquement et par défaut,</w:t>
      </w:r>
    </w:p>
    <w:p w14:paraId="35BB2FA8"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Après avoir délibéré,</w:t>
      </w:r>
    </w:p>
    <w:p w14:paraId="69200351"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Reçoit la demande,</w:t>
      </w:r>
    </w:p>
    <w:p w14:paraId="0C2C189D" w14:textId="3BC7D65D"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La dit non-fondée en ce qu’elle sollicite la condamnation provisionnelle</w:t>
      </w:r>
      <w:r w:rsidR="00223725">
        <w:rPr>
          <w:rFonts w:ascii="Calibri" w:eastAsia="Calibri" w:hAnsi="Calibri" w:cs="Calibri"/>
          <w:kern w:val="0"/>
          <w:sz w:val="22"/>
          <w:szCs w:val="22"/>
          <w:lang w:eastAsia="en-US"/>
        </w:rPr>
        <w:t>,</w:t>
      </w:r>
      <w:r w:rsidRPr="007A1E61">
        <w:rPr>
          <w:rFonts w:ascii="Calibri" w:eastAsia="Calibri" w:hAnsi="Calibri" w:cs="Calibri"/>
          <w:kern w:val="0"/>
          <w:sz w:val="22"/>
          <w:szCs w:val="22"/>
          <w:lang w:eastAsia="en-US"/>
        </w:rPr>
        <w:t xml:space="preserve"> sur base de l’article 19, alinéa 3 du Code judiciaire, de </w:t>
      </w:r>
      <w:r w:rsidR="0034317A">
        <w:rPr>
          <w:rFonts w:ascii="Calibri" w:eastAsia="Calibri" w:hAnsi="Calibri" w:cs="Calibri"/>
          <w:kern w:val="0"/>
          <w:sz w:val="22"/>
          <w:szCs w:val="22"/>
          <w:lang w:eastAsia="en-US"/>
        </w:rPr>
        <w:t>M</w:t>
      </w:r>
      <w:r w:rsidRPr="007A1E61">
        <w:rPr>
          <w:rFonts w:ascii="Calibri" w:eastAsia="Calibri" w:hAnsi="Calibri" w:cs="Calibri"/>
          <w:kern w:val="0"/>
          <w:sz w:val="22"/>
          <w:szCs w:val="22"/>
          <w:lang w:eastAsia="en-US"/>
        </w:rPr>
        <w:t xml:space="preserve">onsieur </w:t>
      </w:r>
      <w:r w:rsidR="0008499A">
        <w:rPr>
          <w:rFonts w:ascii="Calibri" w:eastAsia="Calibri" w:hAnsi="Calibri" w:cs="Calibri"/>
          <w:kern w:val="0"/>
          <w:sz w:val="22"/>
          <w:szCs w:val="22"/>
          <w:lang w:eastAsia="en-US"/>
        </w:rPr>
        <w:t>V</w:t>
      </w:r>
      <w:r w:rsidRPr="007A1E61">
        <w:rPr>
          <w:rFonts w:ascii="Calibri" w:eastAsia="Calibri" w:hAnsi="Calibri" w:cs="Calibri"/>
          <w:kern w:val="0"/>
          <w:sz w:val="22"/>
          <w:szCs w:val="22"/>
          <w:lang w:eastAsia="en-US"/>
        </w:rPr>
        <w:t>;</w:t>
      </w:r>
    </w:p>
    <w:p w14:paraId="12B8FEE1"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Sursois à statuer sur la demande de condamnation à des dommages et intérêts, en ce compris les dépens.</w:t>
      </w:r>
    </w:p>
    <w:p w14:paraId="5E16A7EC" w14:textId="77777777" w:rsidR="007A1E61" w:rsidRPr="007A1E61" w:rsidRDefault="007A1E61" w:rsidP="007A1E61">
      <w:pPr>
        <w:widowControl/>
        <w:suppressAutoHyphens w:val="0"/>
        <w:autoSpaceDN/>
        <w:spacing w:after="160" w:line="256" w:lineRule="auto"/>
        <w:jc w:val="both"/>
        <w:textAlignment w:val="auto"/>
        <w:rPr>
          <w:rFonts w:ascii="Calibri" w:eastAsia="Calibri" w:hAnsi="Calibri" w:cs="Calibri"/>
          <w:kern w:val="0"/>
          <w:sz w:val="22"/>
          <w:szCs w:val="22"/>
          <w:lang w:eastAsia="en-US"/>
        </w:rPr>
      </w:pPr>
      <w:r w:rsidRPr="007A1E61">
        <w:rPr>
          <w:rFonts w:ascii="Calibri" w:eastAsia="Calibri" w:hAnsi="Calibri" w:cs="Calibri"/>
          <w:kern w:val="0"/>
          <w:sz w:val="22"/>
          <w:szCs w:val="22"/>
          <w:lang w:eastAsia="en-US"/>
        </w:rPr>
        <w:t xml:space="preserve">Renvoie la cause au rôle. </w:t>
      </w:r>
    </w:p>
    <w:p w14:paraId="4FC20F12" w14:textId="77777777" w:rsidR="006A7631" w:rsidRPr="006C22FE" w:rsidRDefault="006A7631" w:rsidP="006A7631">
      <w:pPr>
        <w:jc w:val="both"/>
        <w:rPr>
          <w:rFonts w:asciiTheme="minorHAnsi" w:hAnsiTheme="minorHAnsi" w:cstheme="minorHAnsi"/>
          <w:snapToGrid w:val="0"/>
          <w:sz w:val="22"/>
          <w:szCs w:val="22"/>
          <w:lang w:eastAsia="fr-FR"/>
        </w:rPr>
      </w:pPr>
    </w:p>
    <w:p w14:paraId="62C90658" w14:textId="505F1FC3"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 xml:space="preserve">AINSI jugé par la </w:t>
      </w:r>
      <w:r w:rsidRPr="0034197A">
        <w:rPr>
          <w:rFonts w:asciiTheme="minorHAnsi" w:hAnsiTheme="minorHAnsi" w:cstheme="minorHAnsi"/>
          <w:b/>
          <w:sz w:val="22"/>
          <w:szCs w:val="22"/>
        </w:rPr>
        <w:t xml:space="preserve">Septième chambre du Tribunal du Travail de Liège - Division </w:t>
      </w:r>
      <w:r w:rsidR="00223725">
        <w:rPr>
          <w:rFonts w:asciiTheme="minorHAnsi" w:hAnsiTheme="minorHAnsi" w:cstheme="minorHAnsi"/>
          <w:b/>
          <w:sz w:val="22"/>
          <w:szCs w:val="22"/>
        </w:rPr>
        <w:t xml:space="preserve">de </w:t>
      </w:r>
      <w:r w:rsidRPr="0034197A">
        <w:rPr>
          <w:rFonts w:asciiTheme="minorHAnsi" w:hAnsiTheme="minorHAnsi" w:cstheme="minorHAnsi"/>
          <w:b/>
          <w:sz w:val="22"/>
          <w:szCs w:val="22"/>
        </w:rPr>
        <w:t>Liège</w:t>
      </w:r>
      <w:r w:rsidRPr="0034197A">
        <w:rPr>
          <w:rFonts w:asciiTheme="minorHAnsi" w:hAnsiTheme="minorHAnsi" w:cstheme="minorHAnsi"/>
          <w:b/>
          <w:snapToGrid w:val="0"/>
          <w:sz w:val="22"/>
          <w:szCs w:val="22"/>
          <w:lang w:eastAsia="fr-FR"/>
        </w:rPr>
        <w:t xml:space="preserve"> composée de:</w:t>
      </w:r>
    </w:p>
    <w:p w14:paraId="550551E2" w14:textId="107561F6"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DESIR SARAH,</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r>
      <w:r w:rsidR="007A1E61">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 xml:space="preserve">Juge, présidant la chambre, </w:t>
      </w:r>
    </w:p>
    <w:p w14:paraId="482324DE" w14:textId="77777777"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JOLET ANTOINE,</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t xml:space="preserve">Juge social employeur, </w:t>
      </w:r>
    </w:p>
    <w:p w14:paraId="074A235B" w14:textId="77777777" w:rsidR="006A7631" w:rsidRPr="0034197A" w:rsidRDefault="006A7631" w:rsidP="006A7631">
      <w:pPr>
        <w:jc w:val="both"/>
        <w:rPr>
          <w:rFonts w:asciiTheme="minorHAnsi" w:hAnsiTheme="minorHAnsi" w:cstheme="minorHAnsi"/>
          <w:snapToGrid w:val="0"/>
          <w:sz w:val="22"/>
          <w:szCs w:val="22"/>
          <w:lang w:eastAsia="fr-FR"/>
        </w:rPr>
      </w:pPr>
      <w:r w:rsidRPr="0034197A">
        <w:rPr>
          <w:rFonts w:asciiTheme="minorHAnsi" w:hAnsiTheme="minorHAnsi" w:cstheme="minorHAnsi"/>
          <w:snapToGrid w:val="0"/>
          <w:sz w:val="22"/>
          <w:szCs w:val="22"/>
          <w:lang w:eastAsia="fr-FR"/>
        </w:rPr>
        <w:t>MARIE GHISLAINE,</w:t>
      </w:r>
      <w:r w:rsidRPr="0034197A">
        <w:rPr>
          <w:rFonts w:asciiTheme="minorHAnsi" w:hAnsiTheme="minorHAnsi" w:cstheme="minorHAnsi"/>
          <w:snapToGrid w:val="0"/>
          <w:sz w:val="22"/>
          <w:szCs w:val="22"/>
          <w:lang w:eastAsia="fr-FR"/>
        </w:rPr>
        <w:tab/>
      </w:r>
      <w:r w:rsidRPr="0034197A">
        <w:rPr>
          <w:rFonts w:asciiTheme="minorHAnsi" w:hAnsiTheme="minorHAnsi" w:cstheme="minorHAnsi"/>
          <w:snapToGrid w:val="0"/>
          <w:sz w:val="22"/>
          <w:szCs w:val="22"/>
          <w:lang w:eastAsia="fr-FR"/>
        </w:rPr>
        <w:tab/>
        <w:t>Juge social employé,</w:t>
      </w:r>
    </w:p>
    <w:p w14:paraId="423B1135" w14:textId="77777777" w:rsidR="006A7631" w:rsidRPr="0034197A" w:rsidRDefault="006A7631" w:rsidP="006A7631">
      <w:pPr>
        <w:jc w:val="both"/>
        <w:rPr>
          <w:rFonts w:asciiTheme="minorHAnsi" w:hAnsiTheme="minorHAnsi" w:cstheme="minorHAnsi"/>
          <w:snapToGrid w:val="0"/>
          <w:sz w:val="22"/>
          <w:szCs w:val="22"/>
          <w:lang w:eastAsia="fr-FR"/>
        </w:rPr>
      </w:pPr>
    </w:p>
    <w:p w14:paraId="6F0FEC1A" w14:textId="4BB9449D" w:rsidR="006A7631" w:rsidRPr="0034197A" w:rsidRDefault="006A7631" w:rsidP="006A7631">
      <w:pPr>
        <w:jc w:val="both"/>
        <w:rPr>
          <w:rFonts w:asciiTheme="minorHAnsi" w:hAnsiTheme="minorHAnsi" w:cstheme="minorHAnsi"/>
          <w:b/>
          <w:sz w:val="22"/>
          <w:szCs w:val="22"/>
          <w:lang w:val="fr-FR"/>
        </w:rPr>
      </w:pPr>
      <w:r w:rsidRPr="0034197A">
        <w:rPr>
          <w:rFonts w:asciiTheme="minorHAnsi" w:hAnsiTheme="minorHAnsi" w:cstheme="minorHAnsi"/>
          <w:snapToGrid w:val="0"/>
          <w:sz w:val="22"/>
          <w:szCs w:val="22"/>
          <w:lang w:eastAsia="fr-FR"/>
        </w:rPr>
        <w:t xml:space="preserve">Et prononcé en langue française à l’audience publique de la même chambre le </w:t>
      </w:r>
      <w:sdt>
        <w:sdtPr>
          <w:rPr>
            <w:rFonts w:asciiTheme="minorHAnsi" w:hAnsiTheme="minorHAnsi" w:cstheme="minorHAnsi"/>
            <w:b/>
            <w:sz w:val="22"/>
            <w:szCs w:val="22"/>
          </w:rPr>
          <w:id w:val="-662859851"/>
          <w:placeholder>
            <w:docPart w:val="30EB59F6644D4D0C8BF7D3790CEE8B39"/>
          </w:placeholder>
          <w:date w:fullDate="2023-03-03T00:00:00Z">
            <w:dateFormat w:val="dd/MM/yyyy"/>
            <w:lid w:val="fr-BE"/>
            <w:storeMappedDataAs w:val="dateTime"/>
            <w:calendar w:val="gregorian"/>
          </w:date>
        </w:sdtPr>
        <w:sdtEndPr/>
        <w:sdtContent>
          <w:r w:rsidR="007A1E61">
            <w:rPr>
              <w:rFonts w:asciiTheme="minorHAnsi" w:hAnsiTheme="minorHAnsi" w:cstheme="minorHAnsi"/>
              <w:b/>
              <w:sz w:val="22"/>
              <w:szCs w:val="22"/>
            </w:rPr>
            <w:t>03/03/2023</w:t>
          </w:r>
        </w:sdtContent>
      </w:sdt>
    </w:p>
    <w:p w14:paraId="50E19715" w14:textId="56A00EEB"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par DESIR SARAH,</w:t>
      </w:r>
      <w:r>
        <w:rPr>
          <w:rFonts w:asciiTheme="minorHAnsi" w:hAnsiTheme="minorHAnsi" w:cstheme="minorHAnsi"/>
          <w:snapToGrid w:val="0"/>
          <w:sz w:val="22"/>
          <w:szCs w:val="22"/>
          <w:lang w:eastAsia="fr-FR"/>
        </w:rPr>
        <w:t xml:space="preserve"> Juge, présidant la chambre,</w:t>
      </w:r>
      <w:r w:rsidRPr="0034197A">
        <w:rPr>
          <w:rFonts w:asciiTheme="minorHAnsi" w:hAnsiTheme="minorHAnsi" w:cstheme="minorHAnsi"/>
          <w:snapToGrid w:val="0"/>
          <w:sz w:val="22"/>
          <w:szCs w:val="22"/>
          <w:lang w:eastAsia="fr-FR"/>
        </w:rPr>
        <w:t xml:space="preserve"> assistée de</w:t>
      </w:r>
      <w:r w:rsidRPr="0034197A">
        <w:rPr>
          <w:rFonts w:asciiTheme="minorHAnsi" w:hAnsiTheme="minorHAnsi" w:cstheme="minorHAnsi"/>
          <w:b/>
          <w:snapToGrid w:val="0"/>
          <w:sz w:val="22"/>
          <w:szCs w:val="22"/>
          <w:lang w:eastAsia="fr-FR"/>
        </w:rPr>
        <w:t xml:space="preserve"> GHENNE ESTELLE, </w:t>
      </w:r>
      <w:r w:rsidRPr="007A1E61">
        <w:rPr>
          <w:rFonts w:asciiTheme="minorHAnsi" w:hAnsiTheme="minorHAnsi" w:cstheme="minorHAnsi"/>
          <w:bCs/>
          <w:snapToGrid w:val="0"/>
          <w:sz w:val="22"/>
          <w:szCs w:val="22"/>
          <w:lang w:eastAsia="fr-FR"/>
        </w:rPr>
        <w:t>Greffier,</w:t>
      </w:r>
    </w:p>
    <w:p w14:paraId="796DE15C" w14:textId="77777777" w:rsidR="006A7631" w:rsidRPr="0034197A" w:rsidRDefault="006A7631" w:rsidP="006A7631">
      <w:pPr>
        <w:jc w:val="both"/>
        <w:rPr>
          <w:rFonts w:asciiTheme="minorHAnsi" w:hAnsiTheme="minorHAnsi" w:cstheme="minorHAnsi"/>
          <w:b/>
          <w:snapToGrid w:val="0"/>
          <w:sz w:val="22"/>
          <w:szCs w:val="22"/>
          <w:lang w:eastAsia="fr-FR"/>
        </w:rPr>
      </w:pPr>
    </w:p>
    <w:p w14:paraId="076B735F" w14:textId="77777777" w:rsidR="006A7631" w:rsidRPr="0034197A" w:rsidRDefault="006A7631" w:rsidP="006A7631">
      <w:pPr>
        <w:jc w:val="both"/>
        <w:rPr>
          <w:rFonts w:asciiTheme="minorHAnsi" w:hAnsiTheme="minorHAnsi" w:cstheme="minorHAnsi"/>
          <w:b/>
          <w:snapToGrid w:val="0"/>
          <w:sz w:val="22"/>
          <w:szCs w:val="22"/>
          <w:lang w:eastAsia="fr-FR"/>
        </w:rPr>
      </w:pPr>
      <w:r w:rsidRPr="0034197A">
        <w:rPr>
          <w:rFonts w:asciiTheme="minorHAnsi" w:hAnsiTheme="minorHAnsi" w:cstheme="minorHAnsi"/>
          <w:b/>
          <w:snapToGrid w:val="0"/>
          <w:sz w:val="22"/>
          <w:szCs w:val="22"/>
          <w:lang w:eastAsia="fr-FR"/>
        </w:rPr>
        <w:t>Le Président, les Juges sociaux et le Greffier,</w:t>
      </w:r>
    </w:p>
    <w:p w14:paraId="622DFAAB" w14:textId="77777777" w:rsidR="0091131E" w:rsidRPr="008A5ACB" w:rsidRDefault="0091131E" w:rsidP="007A1E61">
      <w:pPr>
        <w:pStyle w:val="Textebrut"/>
        <w:rPr>
          <w:rFonts w:asciiTheme="minorHAnsi" w:hAnsiTheme="minorHAnsi" w:cstheme="minorHAnsi"/>
          <w:snapToGrid w:val="0"/>
          <w:sz w:val="22"/>
          <w:szCs w:val="22"/>
          <w:lang w:eastAsia="fr-FR"/>
        </w:rPr>
      </w:pPr>
    </w:p>
    <w:sectPr w:rsidR="0091131E" w:rsidRPr="008A5ACB" w:rsidSect="002D50E6">
      <w:headerReference w:type="default" r:id="rId12"/>
      <w:headerReference w:type="first" r:id="rId13"/>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9595" w14:textId="77777777" w:rsidR="008206B3" w:rsidRDefault="008206B3">
      <w:r>
        <w:separator/>
      </w:r>
    </w:p>
  </w:endnote>
  <w:endnote w:type="continuationSeparator" w:id="0">
    <w:p w14:paraId="10FF912E" w14:textId="77777777" w:rsidR="008206B3" w:rsidRDefault="008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0362" w14:textId="77777777" w:rsidR="008206B3" w:rsidRDefault="008206B3">
      <w:r>
        <w:separator/>
      </w:r>
    </w:p>
  </w:footnote>
  <w:footnote w:type="continuationSeparator" w:id="0">
    <w:p w14:paraId="0724EB13" w14:textId="77777777" w:rsidR="008206B3" w:rsidRDefault="008206B3">
      <w:r>
        <w:continuationSeparator/>
      </w:r>
    </w:p>
  </w:footnote>
  <w:footnote w:id="1">
    <w:p w14:paraId="63C1A2A8" w14:textId="77777777" w:rsidR="00534B59" w:rsidRPr="006B2FF7" w:rsidRDefault="00534B59" w:rsidP="00534B59">
      <w:pPr>
        <w:pStyle w:val="Notedebasdepage"/>
        <w:jc w:val="both"/>
        <w:rPr>
          <w:rFonts w:asciiTheme="minorHAnsi" w:hAnsiTheme="minorHAnsi" w:cstheme="minorHAnsi"/>
          <w:sz w:val="18"/>
          <w:szCs w:val="18"/>
        </w:rPr>
      </w:pPr>
      <w:r w:rsidRPr="006B2FF7">
        <w:rPr>
          <w:rStyle w:val="Appelnotedebasdep"/>
          <w:rFonts w:asciiTheme="minorHAnsi" w:eastAsia="Lucida Sans Unicode" w:hAnsiTheme="minorHAnsi" w:cstheme="minorHAnsi"/>
          <w:sz w:val="18"/>
          <w:szCs w:val="18"/>
        </w:rPr>
        <w:footnoteRef/>
      </w:r>
      <w:r w:rsidRPr="006B2FF7">
        <w:rPr>
          <w:rFonts w:asciiTheme="minorHAnsi" w:hAnsiTheme="minorHAnsi" w:cstheme="minorHAnsi"/>
          <w:sz w:val="18"/>
          <w:szCs w:val="18"/>
        </w:rPr>
        <w:t xml:space="preserve"> Pièce 5 du dossier du demandeur</w:t>
      </w:r>
    </w:p>
  </w:footnote>
  <w:footnote w:id="2">
    <w:p w14:paraId="469FCBD8" w14:textId="77777777" w:rsidR="007A1E61" w:rsidRPr="006B2FF7" w:rsidRDefault="007A1E61" w:rsidP="00534B59">
      <w:pPr>
        <w:pStyle w:val="Sansinterligne"/>
        <w:jc w:val="both"/>
        <w:rPr>
          <w:rFonts w:asciiTheme="minorHAnsi" w:hAnsiTheme="minorHAnsi" w:cstheme="minorHAnsi"/>
          <w:sz w:val="18"/>
          <w:szCs w:val="18"/>
          <w:lang w:val="fr-FR"/>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lang w:val="fr-FR"/>
        </w:rPr>
        <w:t xml:space="preserve"> Cass., 23/4/1997, Pas., I, p. 490 ; Cass., 13/2/2001, Pas., I, p. 270</w:t>
      </w:r>
    </w:p>
  </w:footnote>
  <w:footnote w:id="3">
    <w:p w14:paraId="291D7676" w14:textId="37D63D0D" w:rsidR="00534B59" w:rsidRPr="006B2FF7" w:rsidRDefault="00534B59" w:rsidP="00534B59">
      <w:pPr>
        <w:pStyle w:val="Notedebasdepage"/>
        <w:jc w:val="both"/>
        <w:rPr>
          <w:rFonts w:asciiTheme="minorHAnsi" w:hAnsiTheme="minorHAnsi" w:cstheme="minorHAnsi"/>
          <w:sz w:val="18"/>
          <w:szCs w:val="18"/>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w:t>
      </w:r>
      <w:r w:rsidRPr="006B2FF7">
        <w:rPr>
          <w:rFonts w:asciiTheme="minorHAnsi" w:hAnsiTheme="minorHAnsi" w:cstheme="minorHAnsi"/>
          <w:sz w:val="18"/>
          <w:szCs w:val="18"/>
          <w:lang w:val="fr-BE"/>
        </w:rPr>
        <w:t>Cass., (1</w:t>
      </w:r>
      <w:r w:rsidRPr="006B2FF7">
        <w:rPr>
          <w:rFonts w:asciiTheme="minorHAnsi" w:hAnsiTheme="minorHAnsi" w:cstheme="minorHAnsi"/>
          <w:sz w:val="18"/>
          <w:szCs w:val="18"/>
          <w:vertAlign w:val="superscript"/>
          <w:lang w:val="fr-BE"/>
        </w:rPr>
        <w:t>ère</w:t>
      </w:r>
      <w:r w:rsidRPr="006B2FF7">
        <w:rPr>
          <w:rFonts w:asciiTheme="minorHAnsi" w:hAnsiTheme="minorHAnsi" w:cstheme="minorHAnsi"/>
          <w:sz w:val="18"/>
          <w:szCs w:val="18"/>
          <w:lang w:val="fr-BE"/>
        </w:rPr>
        <w:t xml:space="preserve"> ch. </w:t>
      </w:r>
      <w:proofErr w:type="spellStart"/>
      <w:r w:rsidRPr="006B2FF7">
        <w:rPr>
          <w:rFonts w:asciiTheme="minorHAnsi" w:hAnsiTheme="minorHAnsi" w:cstheme="minorHAnsi"/>
          <w:sz w:val="18"/>
          <w:szCs w:val="18"/>
          <w:lang w:val="fr-BE"/>
        </w:rPr>
        <w:t>fr.</w:t>
      </w:r>
      <w:proofErr w:type="spellEnd"/>
      <w:r w:rsidRPr="006B2FF7">
        <w:rPr>
          <w:rFonts w:asciiTheme="minorHAnsi" w:hAnsiTheme="minorHAnsi" w:cstheme="minorHAnsi"/>
          <w:sz w:val="18"/>
          <w:szCs w:val="18"/>
          <w:lang w:val="fr-BE"/>
        </w:rPr>
        <w:t>), 6 décembre 2012, J.L.M.B., 2014, p. 69 ; c’est le Tribunal qui souligne</w:t>
      </w:r>
    </w:p>
  </w:footnote>
  <w:footnote w:id="4">
    <w:p w14:paraId="69BD8CF5" w14:textId="05F4D6E9" w:rsidR="0088516E" w:rsidRPr="006B2FF7" w:rsidRDefault="0088516E" w:rsidP="0088516E">
      <w:pPr>
        <w:pStyle w:val="Notedebasdepage"/>
        <w:jc w:val="both"/>
        <w:rPr>
          <w:rFonts w:asciiTheme="minorHAnsi" w:hAnsiTheme="minorHAnsi" w:cstheme="minorHAnsi"/>
          <w:sz w:val="18"/>
          <w:szCs w:val="18"/>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C</w:t>
      </w:r>
      <w:proofErr w:type="spellStart"/>
      <w:r w:rsidRPr="006B2FF7">
        <w:rPr>
          <w:rFonts w:asciiTheme="minorHAnsi" w:hAnsiTheme="minorHAnsi" w:cstheme="minorHAnsi"/>
          <w:sz w:val="18"/>
          <w:szCs w:val="18"/>
          <w:lang w:val="fr-BE"/>
        </w:rPr>
        <w:t>onclusions</w:t>
      </w:r>
      <w:proofErr w:type="spellEnd"/>
      <w:r w:rsidRPr="006B2FF7">
        <w:rPr>
          <w:rFonts w:asciiTheme="minorHAnsi" w:hAnsiTheme="minorHAnsi" w:cstheme="minorHAnsi"/>
          <w:sz w:val="18"/>
          <w:szCs w:val="18"/>
          <w:lang w:val="fr-BE"/>
        </w:rPr>
        <w:t xml:space="preserve"> de M. l’avocat général J.M. </w:t>
      </w:r>
      <w:proofErr w:type="spellStart"/>
      <w:r w:rsidRPr="006B2FF7">
        <w:rPr>
          <w:rFonts w:asciiTheme="minorHAnsi" w:hAnsiTheme="minorHAnsi" w:cstheme="minorHAnsi"/>
          <w:smallCaps/>
          <w:sz w:val="18"/>
          <w:szCs w:val="18"/>
          <w:lang w:val="fr-BE"/>
        </w:rPr>
        <w:t>Genicot</w:t>
      </w:r>
      <w:proofErr w:type="spellEnd"/>
      <w:r w:rsidRPr="006B2FF7">
        <w:rPr>
          <w:rFonts w:asciiTheme="minorHAnsi" w:hAnsiTheme="minorHAnsi" w:cstheme="minorHAnsi"/>
          <w:sz w:val="18"/>
          <w:szCs w:val="18"/>
          <w:lang w:val="fr-BE"/>
        </w:rPr>
        <w:t xml:space="preserve"> précédant Cass., 6 décembre 2012, op. </w:t>
      </w:r>
      <w:proofErr w:type="spellStart"/>
      <w:r w:rsidRPr="006B2FF7">
        <w:rPr>
          <w:rFonts w:asciiTheme="minorHAnsi" w:hAnsiTheme="minorHAnsi" w:cstheme="minorHAnsi"/>
          <w:sz w:val="18"/>
          <w:szCs w:val="18"/>
          <w:lang w:val="fr-BE"/>
        </w:rPr>
        <w:t>cit</w:t>
      </w:r>
      <w:proofErr w:type="spellEnd"/>
      <w:r w:rsidRPr="006B2FF7">
        <w:rPr>
          <w:rFonts w:asciiTheme="minorHAnsi" w:hAnsiTheme="minorHAnsi" w:cstheme="minorHAnsi"/>
          <w:sz w:val="18"/>
          <w:szCs w:val="18"/>
          <w:lang w:val="fr-BE"/>
        </w:rPr>
        <w:t>.</w:t>
      </w:r>
    </w:p>
  </w:footnote>
  <w:footnote w:id="5">
    <w:p w14:paraId="7B5C0098" w14:textId="02501809" w:rsidR="007A1E61" w:rsidRPr="006B2FF7" w:rsidRDefault="007A1E61" w:rsidP="00534B59">
      <w:pPr>
        <w:pStyle w:val="Sansinterligne"/>
        <w:jc w:val="both"/>
        <w:rPr>
          <w:rFonts w:asciiTheme="minorHAnsi" w:hAnsiTheme="minorHAnsi" w:cstheme="minorHAnsi"/>
          <w:sz w:val="18"/>
          <w:szCs w:val="18"/>
          <w:lang w:val="fr-FR"/>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H.D.</w:t>
      </w:r>
      <w:r w:rsidR="00534B59" w:rsidRPr="006B2FF7">
        <w:rPr>
          <w:rFonts w:asciiTheme="minorHAnsi" w:hAnsiTheme="minorHAnsi" w:cstheme="minorHAnsi"/>
          <w:sz w:val="18"/>
          <w:szCs w:val="18"/>
        </w:rPr>
        <w:t xml:space="preserve"> </w:t>
      </w:r>
      <w:proofErr w:type="spellStart"/>
      <w:r w:rsidRPr="006B2FF7">
        <w:rPr>
          <w:rFonts w:asciiTheme="minorHAnsi" w:hAnsiTheme="minorHAnsi" w:cstheme="minorHAnsi"/>
          <w:sz w:val="18"/>
          <w:szCs w:val="18"/>
        </w:rPr>
        <w:t>Bosly</w:t>
      </w:r>
      <w:proofErr w:type="spellEnd"/>
      <w:r w:rsidRPr="006B2FF7">
        <w:rPr>
          <w:rFonts w:asciiTheme="minorHAnsi" w:hAnsiTheme="minorHAnsi" w:cstheme="minorHAnsi"/>
          <w:sz w:val="18"/>
          <w:szCs w:val="18"/>
        </w:rPr>
        <w:t xml:space="preserve"> et D. </w:t>
      </w:r>
      <w:proofErr w:type="spellStart"/>
      <w:r w:rsidRPr="006B2FF7">
        <w:rPr>
          <w:rFonts w:asciiTheme="minorHAnsi" w:hAnsiTheme="minorHAnsi" w:cstheme="minorHAnsi"/>
          <w:sz w:val="18"/>
          <w:szCs w:val="18"/>
        </w:rPr>
        <w:t>Vandermeersch</w:t>
      </w:r>
      <w:proofErr w:type="spellEnd"/>
      <w:r w:rsidRPr="006B2FF7">
        <w:rPr>
          <w:rFonts w:asciiTheme="minorHAnsi" w:hAnsiTheme="minorHAnsi" w:cstheme="minorHAnsi"/>
          <w:sz w:val="18"/>
          <w:szCs w:val="18"/>
        </w:rPr>
        <w:t>, « Droit de la procédure pénale », Bruxelles, La Charte, 2008, p. 251 et les références citées</w:t>
      </w:r>
    </w:p>
  </w:footnote>
  <w:footnote w:id="6">
    <w:p w14:paraId="138FD356" w14:textId="77777777" w:rsidR="007A1E61" w:rsidRPr="006B2FF7" w:rsidRDefault="007A1E61" w:rsidP="00534B59">
      <w:pPr>
        <w:pStyle w:val="Sansinterligne"/>
        <w:jc w:val="both"/>
        <w:rPr>
          <w:rFonts w:asciiTheme="minorHAnsi" w:hAnsiTheme="minorHAnsi" w:cstheme="minorHAnsi"/>
          <w:sz w:val="18"/>
          <w:szCs w:val="18"/>
          <w:lang w:val="fr-FR"/>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w:t>
      </w:r>
      <w:proofErr w:type="spellStart"/>
      <w:r w:rsidRPr="006B2FF7">
        <w:rPr>
          <w:rFonts w:asciiTheme="minorHAnsi" w:hAnsiTheme="minorHAnsi" w:cstheme="minorHAnsi"/>
          <w:sz w:val="18"/>
          <w:szCs w:val="18"/>
          <w:lang w:val="fr-FR"/>
        </w:rPr>
        <w:t>C.trav</w:t>
      </w:r>
      <w:proofErr w:type="spellEnd"/>
      <w:r w:rsidRPr="006B2FF7">
        <w:rPr>
          <w:rFonts w:asciiTheme="minorHAnsi" w:hAnsiTheme="minorHAnsi" w:cstheme="minorHAnsi"/>
          <w:sz w:val="18"/>
          <w:szCs w:val="18"/>
          <w:lang w:val="fr-FR"/>
        </w:rPr>
        <w:t xml:space="preserve">. Mons, 27 avril 2018, disponible sur </w:t>
      </w:r>
      <w:hyperlink r:id="rId1" w:history="1">
        <w:r w:rsidRPr="006B2FF7">
          <w:rPr>
            <w:rStyle w:val="Lienhypertexte1"/>
            <w:rFonts w:asciiTheme="minorHAnsi" w:hAnsiTheme="minorHAnsi" w:cstheme="minorHAnsi"/>
            <w:sz w:val="18"/>
            <w:szCs w:val="18"/>
            <w:lang w:val="fr-FR"/>
          </w:rPr>
          <w:t>www.terralaboris.be</w:t>
        </w:r>
      </w:hyperlink>
      <w:r w:rsidRPr="006B2FF7">
        <w:rPr>
          <w:rFonts w:asciiTheme="minorHAnsi" w:hAnsiTheme="minorHAnsi" w:cstheme="minorHAnsi"/>
          <w:sz w:val="18"/>
          <w:szCs w:val="18"/>
          <w:lang w:val="fr-FR"/>
        </w:rPr>
        <w:t xml:space="preserve"> </w:t>
      </w:r>
    </w:p>
  </w:footnote>
  <w:footnote w:id="7">
    <w:p w14:paraId="27768A88" w14:textId="36B3A4F8" w:rsidR="00B8433C" w:rsidRPr="006B2FF7" w:rsidRDefault="00B8433C" w:rsidP="00534B59">
      <w:pPr>
        <w:pStyle w:val="Sansinterligne"/>
        <w:jc w:val="both"/>
        <w:rPr>
          <w:rFonts w:asciiTheme="minorHAnsi" w:hAnsiTheme="minorHAnsi" w:cstheme="minorHAnsi"/>
          <w:sz w:val="18"/>
          <w:szCs w:val="18"/>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C. trav. Bruxelles (4e ch.), 25 février 2020, J.T.T., 2020, p. 334</w:t>
      </w:r>
    </w:p>
  </w:footnote>
  <w:footnote w:id="8">
    <w:p w14:paraId="0FAB577F" w14:textId="77777777" w:rsidR="007A1E61" w:rsidRPr="006B2FF7" w:rsidRDefault="007A1E61" w:rsidP="00534B59">
      <w:pPr>
        <w:pStyle w:val="Sansinterligne"/>
        <w:jc w:val="both"/>
        <w:rPr>
          <w:rFonts w:asciiTheme="minorHAnsi" w:hAnsiTheme="minorHAnsi" w:cstheme="minorHAnsi"/>
          <w:sz w:val="18"/>
          <w:szCs w:val="18"/>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Souligné par le Tribunal</w:t>
      </w:r>
    </w:p>
  </w:footnote>
  <w:footnote w:id="9">
    <w:p w14:paraId="3B486107" w14:textId="77777777" w:rsidR="007A1E61" w:rsidRPr="006B2FF7" w:rsidRDefault="007A1E61" w:rsidP="00534B59">
      <w:pPr>
        <w:pStyle w:val="Sansinterligne"/>
        <w:jc w:val="both"/>
        <w:rPr>
          <w:rFonts w:asciiTheme="minorHAnsi" w:hAnsiTheme="minorHAnsi" w:cstheme="minorHAnsi"/>
          <w:sz w:val="18"/>
          <w:szCs w:val="18"/>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w:t>
      </w:r>
      <w:r w:rsidRPr="006B2FF7">
        <w:rPr>
          <w:rFonts w:asciiTheme="minorHAnsi" w:hAnsiTheme="minorHAnsi" w:cstheme="minorHAnsi"/>
          <w:sz w:val="18"/>
          <w:szCs w:val="18"/>
          <w:lang w:eastAsia="en-GB"/>
        </w:rPr>
        <w:t xml:space="preserve">(Bruxelles (7e ch.) 17 novembre 2011, </w:t>
      </w:r>
      <w:proofErr w:type="spellStart"/>
      <w:r w:rsidRPr="006B2FF7">
        <w:rPr>
          <w:rFonts w:asciiTheme="minorHAnsi" w:hAnsiTheme="minorHAnsi" w:cstheme="minorHAnsi"/>
          <w:sz w:val="18"/>
          <w:szCs w:val="18"/>
          <w:lang w:eastAsia="en-GB"/>
        </w:rPr>
        <w:t>Act</w:t>
      </w:r>
      <w:proofErr w:type="spellEnd"/>
      <w:r w:rsidRPr="006B2FF7">
        <w:rPr>
          <w:rFonts w:asciiTheme="minorHAnsi" w:hAnsiTheme="minorHAnsi" w:cstheme="minorHAnsi"/>
          <w:sz w:val="18"/>
          <w:szCs w:val="18"/>
          <w:lang w:eastAsia="en-GB"/>
        </w:rPr>
        <w:t xml:space="preserve">. </w:t>
      </w:r>
      <w:proofErr w:type="spellStart"/>
      <w:r w:rsidRPr="006B2FF7">
        <w:rPr>
          <w:rFonts w:asciiTheme="minorHAnsi" w:hAnsiTheme="minorHAnsi" w:cstheme="minorHAnsi"/>
          <w:sz w:val="18"/>
          <w:szCs w:val="18"/>
          <w:lang w:eastAsia="en-GB"/>
        </w:rPr>
        <w:t>dr</w:t>
      </w:r>
      <w:proofErr w:type="spellEnd"/>
      <w:r w:rsidRPr="006B2FF7">
        <w:rPr>
          <w:rFonts w:asciiTheme="minorHAnsi" w:hAnsiTheme="minorHAnsi" w:cstheme="minorHAnsi"/>
          <w:sz w:val="18"/>
          <w:szCs w:val="18"/>
          <w:lang w:eastAsia="en-GB"/>
        </w:rPr>
        <w:t xml:space="preserve">. </w:t>
      </w:r>
      <w:proofErr w:type="spellStart"/>
      <w:r w:rsidRPr="006B2FF7">
        <w:rPr>
          <w:rFonts w:asciiTheme="minorHAnsi" w:hAnsiTheme="minorHAnsi" w:cstheme="minorHAnsi"/>
          <w:sz w:val="18"/>
          <w:szCs w:val="18"/>
          <w:lang w:eastAsia="en-GB"/>
        </w:rPr>
        <w:t>fam</w:t>
      </w:r>
      <w:proofErr w:type="spellEnd"/>
      <w:r w:rsidRPr="006B2FF7">
        <w:rPr>
          <w:rFonts w:asciiTheme="minorHAnsi" w:hAnsiTheme="minorHAnsi" w:cstheme="minorHAnsi"/>
          <w:sz w:val="18"/>
          <w:szCs w:val="18"/>
          <w:lang w:eastAsia="en-GB"/>
        </w:rPr>
        <w:t xml:space="preserve">. 2013, p. 159 ; Anvers (5e ch.) n° 2015/AR/1590, 8 octobre 2015, </w:t>
      </w:r>
      <w:proofErr w:type="spellStart"/>
      <w:r w:rsidRPr="006B2FF7">
        <w:rPr>
          <w:rFonts w:asciiTheme="minorHAnsi" w:hAnsiTheme="minorHAnsi" w:cstheme="minorHAnsi"/>
          <w:sz w:val="18"/>
          <w:szCs w:val="18"/>
          <w:lang w:eastAsia="en-GB"/>
        </w:rPr>
        <w:t>Limb</w:t>
      </w:r>
      <w:proofErr w:type="spellEnd"/>
      <w:r w:rsidRPr="006B2FF7">
        <w:rPr>
          <w:rFonts w:asciiTheme="minorHAnsi" w:hAnsiTheme="minorHAnsi" w:cstheme="minorHAnsi"/>
          <w:sz w:val="18"/>
          <w:szCs w:val="18"/>
          <w:lang w:eastAsia="en-GB"/>
        </w:rPr>
        <w:t xml:space="preserve">. </w:t>
      </w:r>
      <w:proofErr w:type="spellStart"/>
      <w:r w:rsidRPr="006B2FF7">
        <w:rPr>
          <w:rFonts w:asciiTheme="minorHAnsi" w:hAnsiTheme="minorHAnsi" w:cstheme="minorHAnsi"/>
          <w:sz w:val="18"/>
          <w:szCs w:val="18"/>
          <w:lang w:eastAsia="en-GB"/>
        </w:rPr>
        <w:t>Rechtsl</w:t>
      </w:r>
      <w:proofErr w:type="spellEnd"/>
      <w:r w:rsidRPr="006B2FF7">
        <w:rPr>
          <w:rFonts w:asciiTheme="minorHAnsi" w:hAnsiTheme="minorHAnsi" w:cstheme="minorHAnsi"/>
          <w:sz w:val="18"/>
          <w:szCs w:val="18"/>
          <w:lang w:eastAsia="en-GB"/>
        </w:rPr>
        <w:t xml:space="preserve">. 2016, p. 120 ; Mons (1re ch.) 9 février 2015, </w:t>
      </w:r>
      <w:proofErr w:type="spellStart"/>
      <w:r w:rsidRPr="006B2FF7">
        <w:rPr>
          <w:rFonts w:asciiTheme="minorHAnsi" w:hAnsiTheme="minorHAnsi" w:cstheme="minorHAnsi"/>
          <w:sz w:val="18"/>
          <w:szCs w:val="18"/>
          <w:lang w:eastAsia="en-GB"/>
        </w:rPr>
        <w:t>Rev</w:t>
      </w:r>
      <w:proofErr w:type="spellEnd"/>
      <w:r w:rsidRPr="006B2FF7">
        <w:rPr>
          <w:rFonts w:asciiTheme="minorHAnsi" w:hAnsiTheme="minorHAnsi" w:cstheme="minorHAnsi"/>
          <w:sz w:val="18"/>
          <w:szCs w:val="18"/>
          <w:lang w:eastAsia="en-GB"/>
        </w:rPr>
        <w:t xml:space="preserve">. </w:t>
      </w:r>
      <w:proofErr w:type="spellStart"/>
      <w:r w:rsidRPr="006B2FF7">
        <w:rPr>
          <w:rFonts w:asciiTheme="minorHAnsi" w:hAnsiTheme="minorHAnsi" w:cstheme="minorHAnsi"/>
          <w:sz w:val="18"/>
          <w:szCs w:val="18"/>
          <w:lang w:eastAsia="en-GB"/>
        </w:rPr>
        <w:t>prat</w:t>
      </w:r>
      <w:proofErr w:type="spellEnd"/>
      <w:r w:rsidRPr="006B2FF7">
        <w:rPr>
          <w:rFonts w:asciiTheme="minorHAnsi" w:hAnsiTheme="minorHAnsi" w:cstheme="minorHAnsi"/>
          <w:sz w:val="18"/>
          <w:szCs w:val="18"/>
          <w:lang w:eastAsia="en-GB"/>
        </w:rPr>
        <w:t>. soc. 2014, p. 513)</w:t>
      </w:r>
    </w:p>
  </w:footnote>
  <w:footnote w:id="10">
    <w:p w14:paraId="0ED47086" w14:textId="5613B92D" w:rsidR="006B2FF7" w:rsidRPr="006B2FF7" w:rsidRDefault="006B2FF7" w:rsidP="006B2FF7">
      <w:pPr>
        <w:pStyle w:val="Notedebasdepage"/>
        <w:jc w:val="both"/>
        <w:rPr>
          <w:rFonts w:asciiTheme="minorHAnsi" w:hAnsiTheme="minorHAnsi" w:cstheme="minorHAnsi"/>
          <w:sz w:val="18"/>
          <w:szCs w:val="18"/>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w:t>
      </w:r>
      <w:r w:rsidRPr="006B2FF7">
        <w:rPr>
          <w:rFonts w:asciiTheme="minorHAnsi" w:hAnsiTheme="minorHAnsi" w:cstheme="minorHAnsi"/>
          <w:sz w:val="18"/>
          <w:szCs w:val="18"/>
          <w:lang w:val="fr-BE"/>
        </w:rPr>
        <w:t>A. FETTWEIS, Manuel de procédure civile, 2</w:t>
      </w:r>
      <w:r w:rsidRPr="006B2FF7">
        <w:rPr>
          <w:rFonts w:asciiTheme="minorHAnsi" w:hAnsiTheme="minorHAnsi" w:cstheme="minorHAnsi"/>
          <w:sz w:val="18"/>
          <w:szCs w:val="18"/>
          <w:vertAlign w:val="superscript"/>
          <w:lang w:val="fr-BE"/>
        </w:rPr>
        <w:t>e</w:t>
      </w:r>
      <w:r w:rsidRPr="006B2FF7">
        <w:rPr>
          <w:rFonts w:asciiTheme="minorHAnsi" w:hAnsiTheme="minorHAnsi" w:cstheme="minorHAnsi"/>
          <w:sz w:val="18"/>
          <w:szCs w:val="18"/>
          <w:lang w:val="fr-BE"/>
        </w:rPr>
        <w:t xml:space="preserve"> éd., 1987, p. 440, n° 638 ; c’est le Tribunal qui souligne</w:t>
      </w:r>
    </w:p>
  </w:footnote>
  <w:footnote w:id="11">
    <w:p w14:paraId="62BF24BB" w14:textId="77777777" w:rsidR="007A1E61" w:rsidRPr="006B2FF7" w:rsidRDefault="007A1E61" w:rsidP="00534B59">
      <w:pPr>
        <w:pStyle w:val="Notedebasdepage"/>
        <w:jc w:val="both"/>
        <w:rPr>
          <w:rFonts w:asciiTheme="minorHAnsi" w:hAnsiTheme="minorHAnsi" w:cstheme="minorHAnsi"/>
          <w:sz w:val="18"/>
          <w:szCs w:val="18"/>
        </w:rPr>
      </w:pPr>
      <w:r w:rsidRPr="006B2FF7">
        <w:rPr>
          <w:rStyle w:val="Appelnotedebasdep"/>
          <w:rFonts w:asciiTheme="minorHAnsi" w:eastAsia="Lucida Sans Unicode" w:hAnsiTheme="minorHAnsi" w:cstheme="minorHAnsi"/>
          <w:sz w:val="18"/>
          <w:szCs w:val="18"/>
        </w:rPr>
        <w:footnoteRef/>
      </w:r>
      <w:r w:rsidRPr="006B2FF7">
        <w:rPr>
          <w:rFonts w:asciiTheme="minorHAnsi" w:hAnsiTheme="minorHAnsi" w:cstheme="minorHAnsi"/>
          <w:sz w:val="18"/>
          <w:szCs w:val="18"/>
        </w:rPr>
        <w:t xml:space="preserve"> </w:t>
      </w:r>
      <w:proofErr w:type="spellStart"/>
      <w:r w:rsidRPr="006B2FF7">
        <w:rPr>
          <w:rFonts w:asciiTheme="minorHAnsi" w:hAnsiTheme="minorHAnsi" w:cstheme="minorHAnsi"/>
          <w:sz w:val="18"/>
          <w:szCs w:val="18"/>
        </w:rPr>
        <w:t>C.trav</w:t>
      </w:r>
      <w:proofErr w:type="spellEnd"/>
      <w:r w:rsidRPr="006B2FF7">
        <w:rPr>
          <w:rFonts w:asciiTheme="minorHAnsi" w:hAnsiTheme="minorHAnsi" w:cstheme="minorHAnsi"/>
          <w:sz w:val="18"/>
          <w:szCs w:val="18"/>
        </w:rPr>
        <w:t>. Bruxelles, 3 avril 2019, J.T.T., 2020 p. 493</w:t>
      </w:r>
    </w:p>
  </w:footnote>
  <w:footnote w:id="12">
    <w:p w14:paraId="59F0F5F2" w14:textId="77777777" w:rsidR="007A1E61" w:rsidRPr="006B2FF7" w:rsidRDefault="007A1E61" w:rsidP="00534B59">
      <w:pPr>
        <w:pStyle w:val="Sansinterligne"/>
        <w:jc w:val="both"/>
        <w:rPr>
          <w:rFonts w:asciiTheme="minorHAnsi" w:hAnsiTheme="minorHAnsi" w:cstheme="minorHAnsi"/>
          <w:sz w:val="18"/>
          <w:szCs w:val="18"/>
          <w:lang w:val="fr-FR"/>
        </w:rPr>
      </w:pPr>
      <w:r w:rsidRPr="006B2FF7">
        <w:rPr>
          <w:rStyle w:val="Appelnotedebasdep"/>
          <w:rFonts w:asciiTheme="minorHAnsi" w:hAnsiTheme="minorHAnsi" w:cstheme="minorHAnsi"/>
          <w:sz w:val="18"/>
          <w:szCs w:val="18"/>
        </w:rPr>
        <w:footnoteRef/>
      </w:r>
      <w:r w:rsidRPr="006B2FF7">
        <w:rPr>
          <w:rFonts w:asciiTheme="minorHAnsi" w:hAnsiTheme="minorHAnsi" w:cstheme="minorHAnsi"/>
          <w:sz w:val="18"/>
          <w:szCs w:val="18"/>
        </w:rPr>
        <w:t xml:space="preserve"> </w:t>
      </w:r>
      <w:r w:rsidRPr="006B2FF7">
        <w:rPr>
          <w:rStyle w:val="small-caps"/>
          <w:rFonts w:asciiTheme="minorHAnsi" w:hAnsiTheme="minorHAnsi" w:cstheme="minorHAnsi"/>
          <w:sz w:val="18"/>
          <w:szCs w:val="18"/>
        </w:rPr>
        <w:t>Gilson</w:t>
      </w:r>
      <w:r w:rsidRPr="006B2FF7">
        <w:rPr>
          <w:rFonts w:asciiTheme="minorHAnsi" w:hAnsiTheme="minorHAnsi" w:cstheme="minorHAnsi"/>
          <w:sz w:val="18"/>
          <w:szCs w:val="18"/>
        </w:rPr>
        <w:t>, S. et </w:t>
      </w:r>
      <w:proofErr w:type="spellStart"/>
      <w:r w:rsidRPr="006B2FF7">
        <w:rPr>
          <w:rStyle w:val="small-caps"/>
          <w:rFonts w:asciiTheme="minorHAnsi" w:hAnsiTheme="minorHAnsi" w:cstheme="minorHAnsi"/>
          <w:sz w:val="18"/>
          <w:szCs w:val="18"/>
        </w:rPr>
        <w:t>Trusgnach</w:t>
      </w:r>
      <w:proofErr w:type="spellEnd"/>
      <w:r w:rsidRPr="006B2FF7">
        <w:rPr>
          <w:rFonts w:asciiTheme="minorHAnsi" w:hAnsiTheme="minorHAnsi" w:cstheme="minorHAnsi"/>
          <w:sz w:val="18"/>
          <w:szCs w:val="18"/>
        </w:rPr>
        <w:t>, Z., « Réflexions sur l'usage de l'article 19, alinéa 3, du Code judiciaire en droit social », </w:t>
      </w:r>
      <w:r w:rsidRPr="006B2FF7">
        <w:rPr>
          <w:rFonts w:asciiTheme="minorHAnsi" w:hAnsiTheme="minorHAnsi" w:cstheme="minorHAnsi"/>
          <w:i/>
          <w:iCs/>
          <w:sz w:val="18"/>
          <w:szCs w:val="18"/>
        </w:rPr>
        <w:t>Pli juridique</w:t>
      </w:r>
      <w:r w:rsidRPr="006B2FF7">
        <w:rPr>
          <w:rFonts w:asciiTheme="minorHAnsi" w:hAnsiTheme="minorHAnsi" w:cstheme="minorHAnsi"/>
          <w:sz w:val="18"/>
          <w:szCs w:val="18"/>
        </w:rPr>
        <w:t>, 2021/56,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206B3" w:rsidRPr="00E92C6E" w14:paraId="4A49CE99" w14:textId="77777777">
      <w:tc>
        <w:tcPr>
          <w:tcW w:w="3200" w:type="dxa"/>
          <w:tcMar>
            <w:top w:w="55" w:type="dxa"/>
            <w:left w:w="55" w:type="dxa"/>
            <w:bottom w:w="55" w:type="dxa"/>
            <w:right w:w="55" w:type="dxa"/>
          </w:tcMar>
        </w:tcPr>
        <w:p w14:paraId="121B95B9" w14:textId="77777777" w:rsidR="008206B3" w:rsidRPr="00E92C6E" w:rsidRDefault="008206B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22/ 1241/ A</w:t>
          </w:r>
        </w:p>
      </w:tc>
      <w:tc>
        <w:tcPr>
          <w:tcW w:w="3200" w:type="dxa"/>
          <w:tcMar>
            <w:top w:w="55" w:type="dxa"/>
            <w:left w:w="55" w:type="dxa"/>
            <w:bottom w:w="55" w:type="dxa"/>
            <w:right w:w="55" w:type="dxa"/>
          </w:tcMar>
        </w:tcPr>
        <w:p w14:paraId="474B83DE" w14:textId="77777777" w:rsidR="008206B3" w:rsidRPr="00852979" w:rsidRDefault="008B0CD0">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2023</w:t>
          </w:r>
          <w:r w:rsidR="002E13EE">
            <w:rPr>
              <w:rFonts w:asciiTheme="minorHAnsi" w:hAnsiTheme="minorHAnsi" w:cstheme="minorHAnsi"/>
              <w:b/>
              <w:bCs/>
              <w:sz w:val="22"/>
              <w:szCs w:val="22"/>
              <w:lang w:val="nl-BE"/>
            </w:rPr>
            <w:t>/</w:t>
          </w:r>
        </w:p>
      </w:tc>
      <w:tc>
        <w:tcPr>
          <w:tcW w:w="3200" w:type="dxa"/>
          <w:tcMar>
            <w:top w:w="55" w:type="dxa"/>
            <w:left w:w="55" w:type="dxa"/>
            <w:bottom w:w="55" w:type="dxa"/>
            <w:right w:w="55" w:type="dxa"/>
          </w:tcMar>
        </w:tcPr>
        <w:p w14:paraId="370EB530" w14:textId="77777777" w:rsidR="008206B3" w:rsidRPr="00E92C6E" w:rsidRDefault="008206B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B0CD0">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8B0CD0">
            <w:rPr>
              <w:rFonts w:asciiTheme="minorHAnsi" w:hAnsiTheme="minorHAnsi" w:cstheme="minorHAnsi"/>
              <w:b/>
              <w:bCs/>
              <w:noProof/>
              <w:sz w:val="22"/>
              <w:szCs w:val="22"/>
            </w:rPr>
            <w:t>3</w:t>
          </w:r>
          <w:r>
            <w:rPr>
              <w:rFonts w:asciiTheme="minorHAnsi" w:hAnsiTheme="minorHAnsi" w:cstheme="minorHAnsi"/>
              <w:b/>
              <w:bCs/>
              <w:sz w:val="22"/>
              <w:szCs w:val="22"/>
            </w:rPr>
            <w:fldChar w:fldCharType="end"/>
          </w:r>
        </w:p>
      </w:tc>
    </w:tr>
  </w:tbl>
  <w:p w14:paraId="0C87AD76" w14:textId="77777777" w:rsidR="008206B3" w:rsidRDefault="008206B3">
    <w:pPr>
      <w:pStyle w:val="En-tte"/>
      <w:pBdr>
        <w:bottom w:val="single" w:sz="6" w:space="1" w:color="auto"/>
      </w:pBdr>
    </w:pPr>
  </w:p>
  <w:p w14:paraId="4C162E3B" w14:textId="77777777" w:rsidR="008206B3" w:rsidRDefault="008206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4A669F" w:rsidRPr="005644A1" w14:paraId="516DC8D8" w14:textId="77777777" w:rsidTr="003258DF">
      <w:tc>
        <w:tcPr>
          <w:tcW w:w="3200" w:type="dxa"/>
          <w:tcMar>
            <w:top w:w="55" w:type="dxa"/>
            <w:left w:w="55" w:type="dxa"/>
            <w:bottom w:w="55" w:type="dxa"/>
            <w:right w:w="55" w:type="dxa"/>
          </w:tcMar>
        </w:tcPr>
        <w:p w14:paraId="199EBA1B" w14:textId="77777777" w:rsidR="004A669F" w:rsidRPr="005644A1" w:rsidRDefault="004A669F" w:rsidP="004A669F">
          <w:pPr>
            <w:pStyle w:val="En-tte"/>
            <w:rPr>
              <w:rFonts w:ascii="Calibri" w:hAnsi="Calibri" w:cs="Calibri"/>
              <w:b/>
              <w:bCs/>
              <w:sz w:val="22"/>
              <w:szCs w:val="22"/>
              <w:lang w:val="nl-BE"/>
            </w:rPr>
          </w:pPr>
          <w:r w:rsidRPr="005644A1">
            <w:rPr>
              <w:rFonts w:ascii="Calibri" w:hAnsi="Calibri" w:cs="Calibri"/>
              <w:b/>
              <w:bCs/>
              <w:sz w:val="22"/>
              <w:szCs w:val="22"/>
              <w:lang w:val="nl-BE"/>
            </w:rPr>
            <w:t>R.G. : 22/ 1241/ A</w:t>
          </w:r>
        </w:p>
      </w:tc>
      <w:tc>
        <w:tcPr>
          <w:tcW w:w="3200" w:type="dxa"/>
          <w:tcMar>
            <w:top w:w="55" w:type="dxa"/>
            <w:left w:w="55" w:type="dxa"/>
            <w:bottom w:w="55" w:type="dxa"/>
            <w:right w:w="55" w:type="dxa"/>
          </w:tcMar>
        </w:tcPr>
        <w:p w14:paraId="795650D5" w14:textId="77777777" w:rsidR="004A669F" w:rsidRPr="005644A1" w:rsidRDefault="004A669F"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7F67EFF7" w14:textId="77777777" w:rsidR="004A669F" w:rsidRPr="005644A1" w:rsidRDefault="004A669F"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sidR="002D50E6">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2D50E6">
            <w:rPr>
              <w:rFonts w:ascii="Calibri" w:hAnsi="Calibri" w:cs="Calibri"/>
              <w:b/>
              <w:bCs/>
              <w:noProof/>
              <w:sz w:val="22"/>
              <w:szCs w:val="22"/>
            </w:rPr>
            <w:t>3</w:t>
          </w:r>
          <w:r w:rsidRPr="005644A1">
            <w:rPr>
              <w:rFonts w:ascii="Calibri" w:hAnsi="Calibri" w:cs="Calibri"/>
              <w:b/>
              <w:bCs/>
              <w:sz w:val="22"/>
              <w:szCs w:val="22"/>
            </w:rPr>
            <w:fldChar w:fldCharType="end"/>
          </w:r>
        </w:p>
      </w:tc>
    </w:tr>
  </w:tbl>
  <w:p w14:paraId="7BBEF8E2" w14:textId="77777777" w:rsidR="008206B3" w:rsidRDefault="008206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C9731F9"/>
    <w:multiLevelType w:val="hybridMultilevel"/>
    <w:tmpl w:val="CE0E7F42"/>
    <w:lvl w:ilvl="0" w:tplc="2132FD98">
      <w:start w:val="3"/>
      <w:numFmt w:val="bullet"/>
      <w:lvlText w:val=""/>
      <w:lvlJc w:val="left"/>
      <w:pPr>
        <w:ind w:left="720" w:hanging="360"/>
      </w:pPr>
      <w:rPr>
        <w:rFonts w:ascii="Symbol" w:eastAsia="Calibri" w:hAnsi="Symbol" w:cs="Arial" w:hint="default"/>
        <w:sz w:val="25"/>
      </w:rPr>
    </w:lvl>
    <w:lvl w:ilvl="1" w:tplc="040C0003">
      <w:start w:val="1"/>
      <w:numFmt w:val="bullet"/>
      <w:lvlText w:val="o"/>
      <w:lvlJc w:val="left"/>
      <w:pPr>
        <w:ind w:left="1440" w:hanging="360"/>
      </w:pPr>
      <w:rPr>
        <w:rFonts w:ascii="Courier New" w:hAnsi="Courier New" w:cs="Courier New" w:hint="default"/>
      </w:rPr>
    </w:lvl>
    <w:lvl w:ilvl="2" w:tplc="9A808768">
      <w:start w:val="1"/>
      <w:numFmt w:val="bullet"/>
      <w:lvlText w:val="-"/>
      <w:lvlJc w:val="left"/>
      <w:pPr>
        <w:ind w:left="2160" w:hanging="360"/>
      </w:pPr>
      <w:rPr>
        <w:rFonts w:ascii="Calibri" w:eastAsia="Calibri" w:hAnsi="Calibri" w:cs="Calibri" w:hint="default"/>
        <w:color w:val="auto"/>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606202"/>
    <w:multiLevelType w:val="hybridMultilevel"/>
    <w:tmpl w:val="537C2322"/>
    <w:lvl w:ilvl="0" w:tplc="B960422A">
      <w:start w:val="1"/>
      <w:numFmt w:val="upperRoman"/>
      <w:lvlText w:val="%1."/>
      <w:lvlJc w:val="left"/>
      <w:pPr>
        <w:ind w:left="1080" w:hanging="720"/>
      </w:pPr>
      <w:rPr>
        <w:rFonts w:hint="default"/>
        <w:b w:val="0"/>
        <w:sz w:val="22"/>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140C7"/>
    <w:multiLevelType w:val="hybridMultilevel"/>
    <w:tmpl w:val="AE486B0C"/>
    <w:lvl w:ilvl="0" w:tplc="FC8E85E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9654427">
    <w:abstractNumId w:val="4"/>
  </w:num>
  <w:num w:numId="2" w16cid:durableId="825509075">
    <w:abstractNumId w:val="5"/>
  </w:num>
  <w:num w:numId="3" w16cid:durableId="1456412074">
    <w:abstractNumId w:val="2"/>
  </w:num>
  <w:num w:numId="4" w16cid:durableId="935939945">
    <w:abstractNumId w:val="0"/>
  </w:num>
  <w:num w:numId="5" w16cid:durableId="1043873197">
    <w:abstractNumId w:val="7"/>
  </w:num>
  <w:num w:numId="6" w16cid:durableId="1296444497">
    <w:abstractNumId w:val="8"/>
  </w:num>
  <w:num w:numId="7" w16cid:durableId="1561285560">
    <w:abstractNumId w:val="8"/>
  </w:num>
  <w:num w:numId="8" w16cid:durableId="12744788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084456">
    <w:abstractNumId w:val="1"/>
  </w:num>
  <w:num w:numId="10" w16cid:durableId="712266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40495"/>
    <w:rsid w:val="00052E26"/>
    <w:rsid w:val="000606F4"/>
    <w:rsid w:val="00065F07"/>
    <w:rsid w:val="00072F3B"/>
    <w:rsid w:val="0008499A"/>
    <w:rsid w:val="000B40C2"/>
    <w:rsid w:val="000B66EF"/>
    <w:rsid w:val="000F695F"/>
    <w:rsid w:val="000F785A"/>
    <w:rsid w:val="00151713"/>
    <w:rsid w:val="00193F9B"/>
    <w:rsid w:val="00194937"/>
    <w:rsid w:val="001D4B8C"/>
    <w:rsid w:val="00213290"/>
    <w:rsid w:val="00223725"/>
    <w:rsid w:val="002251A0"/>
    <w:rsid w:val="002522AF"/>
    <w:rsid w:val="00287624"/>
    <w:rsid w:val="002A3F32"/>
    <w:rsid w:val="002A4ACD"/>
    <w:rsid w:val="002D2304"/>
    <w:rsid w:val="002D50E6"/>
    <w:rsid w:val="002E13EE"/>
    <w:rsid w:val="002E4F56"/>
    <w:rsid w:val="002E7213"/>
    <w:rsid w:val="003022D7"/>
    <w:rsid w:val="0034317A"/>
    <w:rsid w:val="00352285"/>
    <w:rsid w:val="003641D7"/>
    <w:rsid w:val="00386FFB"/>
    <w:rsid w:val="003B3F57"/>
    <w:rsid w:val="003B4C1C"/>
    <w:rsid w:val="003E7C9B"/>
    <w:rsid w:val="00401D65"/>
    <w:rsid w:val="00422046"/>
    <w:rsid w:val="004420CB"/>
    <w:rsid w:val="00444DAA"/>
    <w:rsid w:val="00465C44"/>
    <w:rsid w:val="004950D5"/>
    <w:rsid w:val="004A669F"/>
    <w:rsid w:val="004A70E3"/>
    <w:rsid w:val="004B3AA4"/>
    <w:rsid w:val="004F36C3"/>
    <w:rsid w:val="004F4498"/>
    <w:rsid w:val="00502FA7"/>
    <w:rsid w:val="00517943"/>
    <w:rsid w:val="0052005D"/>
    <w:rsid w:val="005278AF"/>
    <w:rsid w:val="0053258D"/>
    <w:rsid w:val="00534B59"/>
    <w:rsid w:val="00550F11"/>
    <w:rsid w:val="0057200B"/>
    <w:rsid w:val="00572767"/>
    <w:rsid w:val="00572D00"/>
    <w:rsid w:val="005A4C7D"/>
    <w:rsid w:val="005B11CD"/>
    <w:rsid w:val="005D7355"/>
    <w:rsid w:val="005F4C2A"/>
    <w:rsid w:val="00605DEA"/>
    <w:rsid w:val="00667911"/>
    <w:rsid w:val="0068109E"/>
    <w:rsid w:val="006A5DAE"/>
    <w:rsid w:val="006A7631"/>
    <w:rsid w:val="006B2FF7"/>
    <w:rsid w:val="006B7B93"/>
    <w:rsid w:val="006C0072"/>
    <w:rsid w:val="006D5ED7"/>
    <w:rsid w:val="006E617E"/>
    <w:rsid w:val="00713878"/>
    <w:rsid w:val="00716DAD"/>
    <w:rsid w:val="00763852"/>
    <w:rsid w:val="00780B98"/>
    <w:rsid w:val="007A1E61"/>
    <w:rsid w:val="007A33A4"/>
    <w:rsid w:val="007B75A5"/>
    <w:rsid w:val="007F2605"/>
    <w:rsid w:val="00810D4C"/>
    <w:rsid w:val="00820488"/>
    <w:rsid w:val="008206B3"/>
    <w:rsid w:val="00826D28"/>
    <w:rsid w:val="008272DE"/>
    <w:rsid w:val="00831B43"/>
    <w:rsid w:val="0084605D"/>
    <w:rsid w:val="00852979"/>
    <w:rsid w:val="0088516E"/>
    <w:rsid w:val="008A2294"/>
    <w:rsid w:val="008A5ACB"/>
    <w:rsid w:val="008B0CD0"/>
    <w:rsid w:val="008F7873"/>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30870"/>
    <w:rsid w:val="00B56630"/>
    <w:rsid w:val="00B67A81"/>
    <w:rsid w:val="00B8433C"/>
    <w:rsid w:val="00B9207E"/>
    <w:rsid w:val="00B962EE"/>
    <w:rsid w:val="00BA7B97"/>
    <w:rsid w:val="00BB2F46"/>
    <w:rsid w:val="00BC675A"/>
    <w:rsid w:val="00BF0199"/>
    <w:rsid w:val="00BF3B30"/>
    <w:rsid w:val="00C708B0"/>
    <w:rsid w:val="00C907A3"/>
    <w:rsid w:val="00C90CC4"/>
    <w:rsid w:val="00CA0AE0"/>
    <w:rsid w:val="00CA2E1C"/>
    <w:rsid w:val="00CB1D52"/>
    <w:rsid w:val="00CB581E"/>
    <w:rsid w:val="00CC17BF"/>
    <w:rsid w:val="00CE492D"/>
    <w:rsid w:val="00D06767"/>
    <w:rsid w:val="00D5271B"/>
    <w:rsid w:val="00D9148E"/>
    <w:rsid w:val="00DE5550"/>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769FD01"/>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aliases w:val="Appel note de bas de page,callout,Footnote Refernece,Footnotes refss,Footnote Reference Superscript,BVI fnr,Footnote Reference Number"/>
    <w:basedOn w:val="Policepardfaut"/>
    <w:uiPriority w:val="99"/>
    <w:semiHidden/>
    <w:unhideWhenUsed/>
    <w:rsid w:val="00D06767"/>
    <w:rPr>
      <w:vertAlign w:val="superscript"/>
    </w:rPr>
  </w:style>
  <w:style w:type="paragraph" w:styleId="Sansinterligne">
    <w:name w:val="No Spacing"/>
    <w:uiPriority w:val="1"/>
    <w:qFormat/>
    <w:rsid w:val="007A1E6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customStyle="1" w:styleId="Lienhypertexte1">
    <w:name w:val="Lien hypertexte1"/>
    <w:basedOn w:val="Policepardfaut"/>
    <w:uiPriority w:val="99"/>
    <w:semiHidden/>
    <w:unhideWhenUsed/>
    <w:rsid w:val="007A1E61"/>
    <w:rPr>
      <w:color w:val="0563C1"/>
      <w:u w:val="single"/>
    </w:rPr>
  </w:style>
  <w:style w:type="character" w:customStyle="1" w:styleId="small-caps">
    <w:name w:val="small-caps"/>
    <w:basedOn w:val="Policepardfaut"/>
    <w:rsid w:val="007A1E61"/>
  </w:style>
  <w:style w:type="character" w:styleId="Lienhypertexte">
    <w:name w:val="Hyperlink"/>
    <w:basedOn w:val="Policepardfaut"/>
    <w:uiPriority w:val="99"/>
    <w:semiHidden/>
    <w:unhideWhenUsed/>
    <w:rsid w:val="007A1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 w:id="20400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d4a13368-a0d5-460e-b3e3-01877466e90a@EURPRD10.PROD.OUTLOOK.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erralabori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
      <w:docPartPr>
        <w:name w:val="30EB59F6644D4D0C8BF7D3790CEE8B39"/>
        <w:category>
          <w:name w:val="Général"/>
          <w:gallery w:val="placeholder"/>
        </w:category>
        <w:types>
          <w:type w:val="bbPlcHdr"/>
        </w:types>
        <w:behaviors>
          <w:behavior w:val="content"/>
        </w:behaviors>
        <w:guid w:val="{3B5C9123-9F21-40ED-ABDB-C11FCA2F422A}"/>
      </w:docPartPr>
      <w:docPartBody>
        <w:p w:rsidR="00E63CBF" w:rsidRDefault="006B63A9" w:rsidP="006B63A9">
          <w:pPr>
            <w:pStyle w:val="30EB59F6644D4D0C8BF7D3790CEE8B39"/>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C7C29"/>
    <w:rsid w:val="00220BF6"/>
    <w:rsid w:val="0022769E"/>
    <w:rsid w:val="0028116D"/>
    <w:rsid w:val="006B63A9"/>
    <w:rsid w:val="009D290D"/>
    <w:rsid w:val="00B21E7F"/>
    <w:rsid w:val="00BD7EDE"/>
    <w:rsid w:val="00BE1455"/>
    <w:rsid w:val="00CE3C72"/>
    <w:rsid w:val="00DF5B3A"/>
    <w:rsid w:val="00E63CBF"/>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 w:type="paragraph" w:customStyle="1" w:styleId="30EB59F6644D4D0C8BF7D3790CEE8B39">
    <w:name w:val="30EB59F6644D4D0C8BF7D3790CEE8B39"/>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3A77A-D3A4-4D5E-8135-F0D8E6F8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2823</Words>
  <Characters>15527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4</cp:revision>
  <cp:lastPrinted>2019-03-12T10:08:00Z</cp:lastPrinted>
  <dcterms:created xsi:type="dcterms:W3CDTF">2023-04-14T09:07:00Z</dcterms:created>
  <dcterms:modified xsi:type="dcterms:W3CDTF">2023-06-29T08:59:00Z</dcterms:modified>
</cp:coreProperties>
</file>